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布局“风电+”！中船科技签订绿色甲醇重大合同</w:t>
      </w:r>
    </w:p>
    <w:p>
      <w:r>
        <w:t>原文链接: https://news.bjx.com.cn/html/20250917/1461384.shtml</w:t>
      </w:r>
    </w:p>
    <w:p>
      <w:r>
        <w:t>发布日期: 2025-09-17</w:t>
      </w:r>
    </w:p>
    <w:p>
      <w:r>
        <w:t>内容:</w:t>
      </w:r>
    </w:p>
    <w:p>
      <w:r>
        <w:t>9月16日，中船科技发布公告称，公司联合中国船舶工业贸易有限公司子公司与客户A签订了绿色甲醇销售合同，合同金额约4000万美元/年，可根据客户需求增加供货量，最高约1.2亿美元/年。合同预计在公司风电制甲醇项目投产后开始供货，供货期最高不超过12年。合同对当期不产生重大影响，但预计将对公司未来经营业绩产生积极影响。</w:t>
        <w:br/>
        <w:t>公告称，此次签约有利于助力公司从风电业务向绿色燃料业务延伸，构建“风电+绿色燃料”一体化产业链，进一步增强综合竞争力。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