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慕帆动力全球首台氢氨双燃料燃气轮机机组总装下线</w:t>
      </w:r>
    </w:p>
    <w:p>
      <w:r>
        <w:t>原文链接: http://h2.china-nengyuan.com/news/234082.html</w:t>
      </w:r>
    </w:p>
    <w:p>
      <w:r>
        <w:t>发布日期: 2025-09-19</w:t>
      </w:r>
    </w:p>
    <w:p>
      <w:r>
        <w:t>内容:</w:t>
      </w:r>
    </w:p>
    <w:p>
      <w:r>
        <w:t>慕帆动力全球首台氢氨双燃料燃气轮机机组总装下线</w:t>
        <w:br/>
        <w:t>来源：慕帆动力　 人气：208　 更新时间：2025-09-19 13:22:06 　　[我要投稿]</w:t>
        <w:br/>
        <w:br/>
        <w:t xml:space="preserve">　　2025年9月，由慕帆动力自主研发的全球首台氢氨双燃料燃气轮机机组已在内蒙古赤峰基地完成总装下线，将在基地内“泛氢燃机试验中心”进行整机性能试验，标志着此款机型即将走向市场，同时标志着中国燃气轮机在零碳氢氨双燃料发电方面迈出里程碑式的关键一步。</w:t>
        <w:br/>
        <w:br/>
        <w:br/>
        <w:t>全球首台氢氨双燃料燃气轮机</w:t>
        <w:br/>
        <w:br/>
        <w:br/>
        <w:t>慕帆动力泛氢燃机试验中心</w:t>
        <w:br/>
        <w:br/>
        <w:t xml:space="preserve">　　慕帆动力响应国家号召，致力于打破国外巨头在燃气轮机领域技术的长期垄断，确保在未来能源体系核心装备上不再受制于人。其自主研发的全球首台套氢氨双燃料燃气轮机，具备100%自主知识产权，100%国产化零部件，工艺技术可达国际领先水平。该产品投用后，单台机组年发电量最高可达7000万度。利用氢氨燃气轮机所产生的零碳电力是目前传统能源转型、新能源消纳的理想解决方案，已在国内外市场展现出强劲吸引力，目前已收获来自德国、美国、澳大利亚等多个国家和地区的意向订单。</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