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氢能产业逐渐走到深水区 北京以标准助力产业破局</w:t>
      </w:r>
    </w:p>
    <w:p>
      <w:r>
        <w:t>原文链接: http://h2.china-nengyuan.com/news/234076.html</w:t>
      </w:r>
    </w:p>
    <w:p>
      <w:r>
        <w:t>发布日期: 2025-09-19</w:t>
      </w:r>
    </w:p>
    <w:p>
      <w:r>
        <w:t>内容:</w:t>
      </w:r>
    </w:p>
    <w:p>
      <w:r>
        <w:t>氢能产业逐渐走到深水区 北京以标准助力产业破局</w:t>
        <w:br/>
        <w:t>来源：中国能源网　 人气：191　 更新时间：2025-09-19 13:02:24 　　[我要投稿]</w:t>
        <w:br/>
        <w:t>产业要发展，标准需先行。北京市经信局、北京市市场监督管理局近日印发《北京市氢能产业标准体系》（以下简称标准体系）。该标准体系包括5个一级子体系，22个二级子体系，73个三级子体系，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