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云南金山高新区2025年50亿投向绿氢！</w:t>
      </w:r>
    </w:p>
    <w:p>
      <w:r>
        <w:t>原文链接: https://news.bjx.com.cn/html/20250709/1450324.shtml</w:t>
      </w:r>
    </w:p>
    <w:p>
      <w:r>
        <w:t>发布日期: 2025-07-09</w:t>
      </w:r>
    </w:p>
    <w:p>
      <w:r>
        <w:t>内容:</w:t>
      </w:r>
    </w:p>
    <w:p>
      <w:r>
        <w:t>近日，丽江市人民政府发布关于全市园区经济发展情况的报告。</w:t>
        <w:br/>
        <w:t>报告指出，氢能方面，金山高新区聚焦氢能、低空经济、数字经济，打造“全省氢能研发应用全产业链示范区”，布局绿氢制备、储运，新型建材及装备制造项目。</w:t>
        <w:br/>
        <w:t>金山高新区投资2500万元完成东山片区398亩“标准地”建设，2024年出让“标准地”156.64亩；积极盘活原云铝983亩低效用地，用于氢能装备产业园建设。</w:t>
        <w:br/>
        <w:t>充分发挥沪滇合作机制作用，推行“一把手招商+以商招商”，市级领导带队赴长三角、成渝招引氢能企业，金山高新区对接同济大学、上海氢交所，推动氢能技术合作与碳汇交易试点，拟引入沪企投资2亿元。</w:t>
        <w:br/>
        <w:t>金山高新区围绕氢能全产业链，引进绿氢输电线路、氢能装备制造等项目，2025年在建拟建项目16个、计划总投资超过50亿元。金山高新区加大氢能产业布局，引进氢能龙头企业打造氢能产业园。</w:t>
        <w:br/>
        <w:t>存在的问题和挑战是，金山高新区科技创新、技术研发、成果转化等能力较弱，高新技术企业少，以氢能产业为代表的新兴产业尚处于培育阶段，在短期内难以形成支撑，发展现状与发展目标差距较大。</w:t>
        <w:br/>
        <w:t>下一步，优化产业布局，做大做强主导产业，大力培育优势产业集群，全力推动金山园区发展绿氢、低空经济，设立科技创新联合专项资金，支持氢能产业等推进技术创新和平台建设。推动产学研合作，加强创新型人才培养。积极争取省级支持新业态推广应用示范区建设，促进氢能、数字经济等产业发展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