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工信部：加快氢能在传统产业应用，将传统产业深度绿色转型作为首要任务</w:t>
      </w:r>
    </w:p>
    <w:p>
      <w:r>
        <w:t>原文链接: https://news.bjx.com.cn/html/20250721/1452018.shtml</w:t>
      </w:r>
    </w:p>
    <w:p>
      <w:r>
        <w:t>发布日期: 2025-07-21</w:t>
      </w:r>
    </w:p>
    <w:p>
      <w:r>
        <w:t>内容:</w:t>
      </w:r>
    </w:p>
    <w:p>
      <w:r>
        <w:t>北极星氢能网获悉，在7月18日举行的国新办新闻发布会上，工业和信息化部新闻发言人、运行监测协调局局长陶青表示，深挖传统产业绿色低碳发展潜力，推动传统产业“扩绿增效”。</w:t>
        <w:br/>
        <w:t>她表示，落实《制造业绿色低碳发展行动方案（2025—2027年）》要求，未来要将传统产业深度绿色转型作为首要任务，聚焦钢铁、有色金属、石化化工、建材4个重点行业，从原料、用能、工艺、产品4个方面发力。</w:t>
        <w:br/>
        <w:t>扩大绿色原料使用方面，重点是提高废钢铁、废铜、废铝等再生资源在原料中的比重，力争到2027年，将比重分别提高到22%、30%、25%。</w:t>
        <w:br/>
        <w:t>扩大绿色能源使用方面，加快氢能在传统产业应用就是一个重要方向，把清洁低碳氢在冶金、合成氨、合成甲醇、炼化等行业应用作为重点，加快推动实现规模化突破。</w:t>
        <w:br/>
        <w:t>扩大绿色工艺应用方面，重点是加快传统产业具有革新性工艺的攻关，从根本上解决行业绿色低碳发展瓶颈制约。比如，钢铁绿氢冶金、近零碳排放电炉流程炼钢工艺，电解铝无炭阳极技术，石化化工行业智能连续化微反应、绿色合成技术，建材大型窑炉氢能煅烧、电能煅烧工艺等。</w:t>
        <w:br/>
        <w:t>扩大绿色产品供给方面，重点是为经济社会各领域提供绿色低碳效果明显的新材料、新产品。比如，建材行业将推广节能玻璃、新型保温材料、新型墙体材料等；石化化工行业要推广水性涂料、油墨、胶粘剂等。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