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10套1000Nm³/h制氢装置！这一绿氢项目招标</w:t>
      </w:r>
    </w:p>
    <w:p>
      <w:r>
        <w:t>原文链接: https://news.bjx.com.cn/html/20250828/1458280.shtml</w:t>
      </w:r>
    </w:p>
    <w:p>
      <w:r>
        <w:t>发布日期: 2025-08-28</w:t>
      </w:r>
    </w:p>
    <w:p>
      <w:r>
        <w:t>内容:</w:t>
      </w:r>
    </w:p>
    <w:p>
      <w:r>
        <w:t>北极星氢能网获悉，8月27日，中国招标投标公共服务平台发布伊犁州伊宁市绿色氢能创新应用工程（EPC）资格预审公告（代招标公告）。</w:t>
        <w:br/>
        <w:t>公告显示：</w:t>
        <w:br/>
        <w:t>建设规模：10000Nm³/h制氢厂，a.电解制氢包括10套1000Nm³/h的水电解制氢装置，配套分离装置、氢气纯化装置、配碱系统、冷水机组、冷却水循环装置、纯水补水系统及储氢罐，预留氧气纯化；b.配套20MPa的氢气压缩机3台，20MPa一机双管式充装柜3台（长管车充装）和2.520MPa的氢气压缩机3台（下游化工厂供氢），1800m³氢气储罐2台；c.建筑工程部分：配套的制氢间1座、氢压机房1座、控制室1座、动力站1座、110kva变电站1座、消防水池1座、综合水泵间1座、综合办公楼1座、门卫室2座等配套设施；d.公用工程部分：根据项目要求完成配套水处理装置、循环水系统、空气压缩机系统、制氮装置、空气缓冲罐、氮气缓冲罐等；e．包含但不限于项目所需的工艺、管道、设备、建筑、结构、暖通、电气（含变配电）、电信、自动控制、消防给排水等内容的设计、施工安装及设备采购。</w:t>
        <w:br/>
        <w:t>总承包计划工期：总工期：412日历天，2025年10月14日开工建设，2026年11月30日竣工交付使用；其中包含设计期限90日历天。</w:t>
        <w:br/>
        <w:t>招标范围：项目建设范围内的设计、采购、施工等，并协助发包人完成办理各项相关审批手续，验收、移交前维护、移交，技术支持和服务及缺陷责任期（保修期）内的服务等全过程服务的工程总承包，同时，投标人要对承包工程的质量、安全、工期、造价全面负责并承担工程质量终身责任。</w:t>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