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乌拉特中旗：健全绿氢制储输运体系 打造100万吨零碳甲醇生产规模</w:t>
      </w:r>
    </w:p>
    <w:p>
      <w:r>
        <w:t>原文链接: https://news.bjx.com.cn/html/20250904/1459167.shtml</w:t>
      </w:r>
    </w:p>
    <w:p>
      <w:r>
        <w:t>发布日期: 2025-09-03</w:t>
      </w:r>
    </w:p>
    <w:p>
      <w:r>
        <w:t>内容:</w:t>
      </w:r>
    </w:p>
    <w:p>
      <w:r>
        <w:t>北极星氢能网获悉，9月2日，乌拉特中旗人民政府印发《乌拉特中旗重大项目谋划行动实施方案》，其中提到：</w:t>
        <w:br/>
        <w:t>重点工作任务</w:t>
        <w:br/>
        <w:t>新能源项目。聚焦新能源新材料示范基地创建目标，围绕传统产业绿色化改造和新能源就地消纳，谋划建设一批源网荷储一体化、工业园区绿色供电等项目。有序推进乌拉特中旗—乌拉特后旗—磴口输氢管道建设，健全绿氢制储输运体系。加快谋划建设独立储能电站、超级电容、熔盐储热、压缩空气和飞轮储能等先进储能项目。确保2025年建设投资达到40亿元，“十五五”谋划储备项目投资达到220亿元。</w:t>
        <w:br/>
        <w:t>新型化工项目。规划布局大型综合物流枢纽和过境资源落地加工转化产业。聚焦打造形成“1200万吨洗煤+600万吨绿色焦炭+100万吨零碳甲醇”生产规模，延伸增值下游产品，配套绿氢耦合煤化工装置，构建现代煤化工全产业链发展格局。确保2025年建设投资达到7亿元，“十五五”谋划储备项目投资达到39亿元。</w:t>
        <w:br/>
        <w:t>新能源装备制造项目。谋划布局氢能储能材料研发制造等战略性新兴产业。围绕风电产业链发展需求，谋划一批风电上游核心零部件研发制造、中游整机装备制造、下游集成化装备制造项目。聚焦光伏产业技术升级，发展中游整机装备制造、下游集成化装备制造项目，配套发展新能源装备回收及资源循环利用产业。确保2025年建设投资达到5亿元，“十五五”谋划储备项目投资达到28亿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