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投资13.20亿元！赫美集团262.5MW风光制氢项目获核准</w:t>
      </w:r>
    </w:p>
    <w:p>
      <w:r>
        <w:t>原文链接: https://news.bjx.com.cn/html/20250903/1459169.shtml</w:t>
      </w:r>
    </w:p>
    <w:p>
      <w:r>
        <w:t>发布日期: 2025-09-03</w:t>
      </w:r>
    </w:p>
    <w:p>
      <w:r>
        <w:t>内容:</w:t>
      </w:r>
    </w:p>
    <w:p>
      <w:r>
        <w:t>9月2日，深圳赫美集团股份有限公司（以下简称“赫美集团）发布对外投资项目的进展公告。</w:t>
        <w:br/>
        <w:t>公告指出，赫美集团控股子公司鹏飞氢美（宁城）新能源科技有限公司（以下简称“宁城氢美”）于近日取得赤峰市能源局发至宁城县发展和改革委员会的《关于鹏飞氢美宁城县风光制氢一体化项目（26.25万千瓦风电部分）核准的批复》（赤能源新能字[2025]121号）。</w:t>
        <w:br/>
        <w:t>鹏飞氢美宁城县风光制氢一体化项目（26.25万千瓦风电部分）位于赤峰市宁城县忙农镇、五化镇、必斯营子镇境内。项目总装机容量26.25万千瓦，拟安装6.25兆瓦及以上风电机组及其附属设施，配置4万千瓦/16万千瓦时储能装置(15.23%/4小时)；新建1座220千伏升压站及其配套设施，接入制氢降压站；项目整体拟接入柏林220千伏变电站220千伏侧，具体接入方案以电网公司批复为准。</w:t>
        <w:br/>
        <w:t>鹏飞氢美宁城县风光制氢一体化项目总投资313501.50万元，其中风电部分131966.89万元，制氢制醇部分181534.61万元。</w:t>
        <w:br/>
        <w:t>赫美集团表示，公司控股子公司宁城氢美投资建设的风光制氢一体化项目（26.25万千瓦风电部分）本次获得行政审批核准，有利于进一步推进该项目建设进程，优化公司产业结构及新能源项目的战略布局，提升公司盈利能力，实现公司健康可持续发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