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吉电股份梨树绿氢耦合绿色甲醇项目第二批招标落定</w:t>
      </w:r>
    </w:p>
    <w:p>
      <w:r>
        <w:t>原文链接: https://news.bjx.com.cn/html/20250908/1459779.shtml</w:t>
      </w:r>
    </w:p>
    <w:p>
      <w:r>
        <w:t>发布日期: 2025-09-08</w:t>
      </w:r>
    </w:p>
    <w:p>
      <w:r>
        <w:t>内容:</w:t>
      </w:r>
    </w:p>
    <w:p>
      <w:r>
        <w:t>北极星氢能网获悉，9月7日，吉林电力股份有限公司梨树风光制绿氢生物质耦合绿色甲醇项目（总投资 49.2 亿元）迎来关键节点，第二批集中招标结果正式出炉。其中，生物质气化工艺包设计服务及专利专有设备采购标段由宁夏神耀科技有限责任公司中标，投标价格 4696 万元，标志着项目核心技术环节已敲定。​</w:t>
        <w:br/>
        <w:t>该中标标段作为项目 “发动机”，涵盖气化炉、组合烧嘴等核心装备的设计、制造、调试全流程服务，将处理 33 万吨 / 年生物煤，为项目年产 19.7 万吨精甲醇提供原料气。项目采用 “绿氢 + 生物质碳” 技术路线，搭配 3.2 万 Nm³/h 电解水制氢装置与 20.8 万 Nm³ 储氢设施，可实现甲醇生产接近零碳排放，投产后年减排二氧化碳超 13 万吨，同时依托吉电股份 1135.09 万千瓦清洁能源装机（占总装机 77.48%）及 12.71 亿元可再生能源补贴，解决新能源发电不稳定与项目资金问题。​</w:t>
        <w:br/>
        <w:t>此次招标也推动产业升级：宁夏神耀凭气流床气化技术积累跨界生物质领域，项目与吉林洮南绿色甲醇项目呼应，支撑 “氢动吉林” 战略，探索 “绿电 - 绿氢 - 绿醇” 全产业链。不过，仍面临生物质气化技术验证、绿电政策波动、49.2 亿元投资回收等挑战。</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