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跨界 | 黄光裕入局氢能，国美氢能科技公司成立!</w:t>
      </w:r>
    </w:p>
    <w:p>
      <w:r>
        <w:t>原文链接: https://news.bjx.com.cn/html/20250915/1461044.shtml</w:t>
      </w:r>
    </w:p>
    <w:p>
      <w:r>
        <w:t>发布日期: 2025-09-15</w:t>
      </w:r>
    </w:p>
    <w:p>
      <w:r>
        <w:t>内容:</w:t>
      </w:r>
    </w:p>
    <w:p>
      <w:r>
        <w:t>北极星氢能网获悉，据企查查显示，9月10日，北京国美氢能科技有限公司成立，法定代表人为关玉斌，注册资本为1000万元。</w:t>
        <w:br/>
        <w:t>经营范围包含：技术服务、技术开发、技术咨询、技术交流、技术转让、技术推广；互联网销售（除销售需要许可的商品）；仪器仪表销售；机械设备销售；机械设备租赁；技术进出口；进出口代理；供应链管理服务；新兴能源技术研发；储能技术服务；新型膜材料销售；合成材料销售；电池销售；发电机及发电机组销售；电池零配件销售；站用加氢及储氢设施销售；气体、液体分离及纯净设备销售；智能基础制造装备销售；智能输配电及控制设备销售；光伏设备及元器件销售；新能源原动设备销售；陆地管道运输；汽车零配件批发；节能管理服务；汽车销售；小微型客车租赁经营服务；新能源汽车整车销售；货物进出口。</w:t>
        <w:br/>
        <w:t>企查查股权穿透显示，该公司由黄光裕（即黄俊烈）控股的北京鹏润投资有限公司持股80%、北京氢源芯能科技有限公司持股15%，北京氢和科技有限公司持股5%。</w:t>
        <w:br/>
        <w:br/>
        <w:t>据企查查显示，北京鹏润投资有限公司成立于1997年9月17日，由黄光裕直接控股82.59%，是国美控股集团的全资母公司。</w:t>
        <w:br/>
        <w:br/>
        <w:t>国美控股集团作为电器零售行业的领军企业，由黄光裕先生于1987年创立，旗下已拥有国美零售、国美金融科技、中关村科技等多家上市公司。早在2017年，国美品牌价值便已高达801.09亿元，连续11年稳居电器零售行业榜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