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国际能源署：低排放氢气项目面临阻力但仍将强劲增长</w:t>
      </w:r>
    </w:p>
    <w:p>
      <w:r>
        <w:t>原文链接: http://h2.china-nengyuan.com/news/233726.html</w:t>
      </w:r>
    </w:p>
    <w:p>
      <w:r>
        <w:t>发布日期: 2025-09-15</w:t>
      </w:r>
    </w:p>
    <w:p>
      <w:r>
        <w:t>内容:</w:t>
      </w:r>
    </w:p>
    <w:p>
      <w:r>
        <w:t>国际能源署：低排放氢气项目面临阻力但仍将强劲增长</w:t>
        <w:br/>
        <w:t>来源：新华网　 人气：177　 更新时间：2025-09-15 08:43:09 　　[我要投稿]</w:t>
        <w:br/>
        <w:t>国际能源署12日发布《2025年全球氢能评估》报告说，尽管面临多重阻力，但预计到2030年，低排放氢气项目仍将强劲增长。传统的氢气生产方式严重依赖化石燃料，且不采取措施捕获相关排放。而低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