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打造全链条绿色消纳体系 绿氨“零碳工厂”让新能源“就地生金”</w:t>
      </w:r>
    </w:p>
    <w:p>
      <w:r>
        <w:t>原文链接: http://h2.china-nengyuan.com/news/233810.html</w:t>
      </w:r>
    </w:p>
    <w:p>
      <w:r>
        <w:t>发布日期: 2025-09-16</w:t>
      </w:r>
    </w:p>
    <w:p>
      <w:r>
        <w:t>内容:</w:t>
      </w:r>
    </w:p>
    <w:p>
      <w:r>
        <w:t>打造全链条绿色消纳体系 绿氨“零碳工厂”让新能源“就地生金”</w:t>
        <w:br/>
        <w:t>来源：央视新闻客户端　 人气：142　 更新时间：2025-09-16 09:49:44 　　[我要投稿]</w:t>
        <w:br/>
        <w:t>液态氨生产下线灌装运往下游企业在这家零碳工厂生产线的最末端，有6个超大罐体，储存的是厂区生产出来的液态氨。氨的形态，可分为气态和液态，液态更便于储存和运输。储存罐有20米高，可以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