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增幅约252%！国家能源集团氢能科技公司增资至6.61亿元</w:t>
      </w:r>
    </w:p>
    <w:p>
      <w:r>
        <w:t>原文链接: https://news.bjx.com.cn/html/20250610/1445489.shtml</w:t>
      </w:r>
    </w:p>
    <w:p>
      <w:r>
        <w:t>发布日期: 2025-06-10</w:t>
      </w:r>
    </w:p>
    <w:p>
      <w:r>
        <w:t>内容:</w:t>
      </w:r>
    </w:p>
    <w:p>
      <w:r>
        <w:t>北极星氢能网获悉，近日，国家能源集团氢能科技有限责任公司发生工商变更，注册资本由1.88亿人民币增至6.61亿人民币，增幅约252%，同时，刘玮由执行董事改任董事，任担任经理一职。</w:t>
        <w:br/>
        <w:t>该公司成立于2019年6月，法定代表人为刘玮，经营范围含氢能源及燃料电池相关装备与技术的开发、技术推广、技术服务、技术咨询，专业承包，货物及技术进出口等，由国家能源投资集团有限责任公司全资持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