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总投资5.2亿！天楹布局15万吨绿色LNG项目</w:t>
      </w:r>
    </w:p>
    <w:p>
      <w:r>
        <w:t>原文链接: https://news.bjx.com.cn/html/20250620/1447406.shtml</w:t>
      </w:r>
    </w:p>
    <w:p>
      <w:r>
        <w:t>发布日期: 2025-06-20</w:t>
      </w:r>
    </w:p>
    <w:p>
      <w:r>
        <w:t>内容:</w:t>
      </w:r>
    </w:p>
    <w:p>
      <w:r>
        <w:t>北极星氢能网获悉，6月19日，安达市天楹15万吨/年绿色LNG项目获备案。</w:t>
        <w:br/>
        <w:t>项目代码：2506-231281-04-01-496546</w:t>
        <w:br/>
        <w:t>项目单位：安达市天楹绿色甲烷科技有限公司</w:t>
        <w:br/>
        <w:t>项目总投资：52146万元</w:t>
        <w:br/>
        <w:t>建设规模及内容：建设15万吨/年规模的甲烷合成装置及配套的甲烷深冷装置和液化甲烷储罐</w:t>
        <w:br/>
        <w:t>安达市天楹绿色甲烷科技有限公司是安达市天楹新能源有限公司子公司，成立于2025年，位于黑龙江省绥化市，是一家以从事石油、煤炭及其他燃料加工业为主的企业。企业注册资本2000万人民币。</w:t>
        <w:br/>
        <w:t>生物天然气是以农作物秸秆、畜禽粪污、餐厨垃圾、农副产品加工废水等各类城乡有机废弃物为原料，经厌氧发酵和净化提纯产生的绿色低碳清洁可再生的天然气，主要由沼气提纯净化而来，是沼气高值化利用的重要方向。</w:t>
        <w:br/>
        <w:t>目前，全国以农业废弃物为主要原料的生物天然气工程66处，总池容量超156万立方米，年产生物天然气达1.25亿立方米。沼气工程的功能由过去能源生产利用为主，逐步向能源、环保、生态综合功能拓展，发酵原料范围也逐渐从秸秆、粪污扩展至餐厨垃圾、农产品加工废弃物、厕所粪污等城乡有机废弃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