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三方联合收购氢能国企51%股权！</w:t>
      </w:r>
    </w:p>
    <w:p>
      <w:r>
        <w:t>原文链接: https://news.bjx.com.cn/html/20250623/1447541.shtml</w:t>
      </w:r>
    </w:p>
    <w:p>
      <w:r>
        <w:t>发布日期: 2025-06-23</w:t>
      </w:r>
    </w:p>
    <w:p>
      <w:r>
        <w:t>内容:</w:t>
      </w:r>
    </w:p>
    <w:p>
      <w:r>
        <w:t>北极星氢能网获悉，2025年6月18日，广东氢能产业迎来关键整合。广东云韬氢能科技有限公司（云韬氢能）、广州白云新能源科技有限公司（白云新能源）、广州白云金科控股集团有限公司（白云金控）联合体与宝武清洁能源有限公司（宝武清能）、宝武集团中南钢铁有限公司（中南钢铁）正式签署广东宝氢科技有限公司（宝氢科技）股权收购协议。</w:t>
        <w:br/>
        <w:t>三方联合体成功收购宝氢科技51%的控股权，标志着广东在构建自主可控氢能产业链上迈出关键一步，为区域落实国家“双碳”战略注入强劲动能。</w:t>
        <w:br/>
        <w:t>宝氢科技成立于2021年，是中国宝武钢铁集团旗下核心企业。公司聚焦焦炉煤气高效制氢、加氢站规模化运营及氢能产业链整体布局，已在广东韶关建成并运营具备8000Nm³/h制氢能力的氢能基地。</w:t>
        <w:br/>
        <w:t>本次由云韬氢能、白云新能源、白云金控组成的联合收购方，旨在通过控股整合宝氢科技的技术储备、优质资产与市场渠道资源，快速打通氢能产业链核心环节，大幅提升区域氢能供应保障能力与产业协同效率。同时解决了上游氢源保障这一制约燃料电池车辆大规模推广的核心瓶颈，使云韬氢能从专注燃料电池系统及应用端解决方案，跃升为掌握稳定且具成本竞争力氢源的全产业链的能源服务商，在氢源环节实现了自主可控。这不仅极大巩固了在广州及白云区氢能产业中的核心引领地位，构建了覆盖“制、加、用”的完整服务能力，更是高度契合国家“双碳”目标对能源结构转型的迫切要求，也是落实《广东省氢能产业发展规划》关于构建安全高效氢能供应体系的具体行动，展现了广州国资体系抢占氢能产业高地的战略决心，为参与更广泛区域竞争、服务国家重大战略奠定了坚实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