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又一氢能企业冲刺IPO！</w:t>
      </w:r>
    </w:p>
    <w:p>
      <w:r>
        <w:t>原文链接: https://news.bjx.com.cn/html/20250623/1447625.shtml</w:t>
      </w:r>
    </w:p>
    <w:p>
      <w:r>
        <w:t>发布日期: 2025-06-23</w:t>
      </w:r>
    </w:p>
    <w:p>
      <w:r>
        <w:t>内容:</w:t>
      </w:r>
    </w:p>
    <w:p>
      <w:r>
        <w:t>6月17日，惠州市华达通气体制造股份有限公司（简称“华达通”）IPO已获得受理。</w:t>
        <w:br/>
        <w:t>招股说明书显示，本次募集资金投资项目计划总投资为26,761.4万元，预计将投入募集资金26,500万元进行建设。本次发行募集资金用于高纯氢生产线扩产项目、气体研发中心建设项目和补充营运资金项目。</w:t>
        <w:br/>
        <w:br/>
        <w:t>惠州市华达通气体制造股份有限公司系一家专注于石化尾气循环经济、资源综合利用及环保处理的国家级专精特新“小巨人”企业、高新技术企业，主要从事液态二氧化碳、干冰、氨水、高纯氢的研发、生产、销售以及液氨的销售。公司经营践行循环经济“减量化、再利用、资源化”的原则，属于绿色低碳、清洁生产的先进制造企业。</w:t>
        <w:br/>
        <w:t>作为同时与中石化、中海油、中海壳牌等大型石化企业开展资源综合利用合作的企业，发行人回收石化企业排放的二氧化碳废气、液体粗氨、含氢尾气等尾气或副产品，通过净化、提纯、制备等多种工序，制成液态二氧化碳、干冰、氨水、高纯氢等高附加值产品，实现“变废为宝”。公司通过对石化企业尾气或副产品的处理与再利用，助力石化企业有效降低碳排放量及安全生产风险、更好践行环境保护责任，提高资源综合利用价值，助力我国“碳达峰、碳中和”及“循环经济”战略的实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