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双场景入选湖南首批！三一氢能“绿氢”项目引领工业低碳变革</w:t>
      </w:r>
    </w:p>
    <w:p>
      <w:r>
        <w:t>原文链接: https://news.bjx.com.cn/html/20250626/1448202.shtml</w:t>
      </w:r>
    </w:p>
    <w:p>
      <w:r>
        <w:t>发布日期: 2025-06-26</w:t>
      </w:r>
    </w:p>
    <w:p>
      <w:r>
        <w:t>内容:</w:t>
      </w:r>
    </w:p>
    <w:p>
      <w:r>
        <w:t>近日，湖南省工业和信息化厅公布首批工业领域低碳氢应用场景名单。三一氢能有限公司两大标杆项目——“氢基低碳冶金与保护技术应用示范项目”（与湖南涟钢联合实施）与“绿电制氢加氢一体站及氢交通示范项目”成功入选。这标志着三一氢能在推动绿氢规模化工业应用、助力高碳行业深度脱碳方面取得实质性突破，获得省级权威认可。</w:t>
        <w:br/>
        <w:br/>
        <w:t>冶金“以氢代碳” 打造绿色钢铁新范式</w:t>
        <w:br/>
        <w:t>由三一氢能与湖南涟钢联合建设的250标方/小时碱性电解水制氢系统，年产绿氢200万立方米，实现钢铁行业“以氢代碳”工艺突破。项目创新应用第三代制氢技术（直流电耗≤4.3kWh/Nm³），并配套智能调控系统，将绿氢规模化用于两大核心环节：</w:t>
        <w:br/>
        <w:t>①镀锌保护气：替代氮氢混合气，提升锌层附着力；</w:t>
        <w:br/>
        <w:t>②炼钢还原气：20%比例替代焦炉煤气，单吨钢减碳0.8吨。</w:t>
        <w:br/>
        <w:t>该系统已稳定运行1500小时，设备可用率99.3%，年减排二氧化碳1.2万吨。目前已在湖南华菱涟源钢铁有限公司冷轧高端家用板建设工程项目应用，为绿色冶金提供可复制、可推广的示范路径。</w:t>
        <w:br/>
        <w:br/>
        <w:t>交通“制储加用” 破解用氢经济性瓶颈</w:t>
        <w:br/>
        <w:t>由三一氢能主导建设并运营2000公斤级制氢加氢一体站，采用光伏绿电耦合谷电的电解水制氢技术，配套1060kg储氢系统，实现全天候24小时稳定供氢。项目创新应用2000标方/小时电解槽（国内首台工程化应用）、大排量压缩机及站内智慧调控技术，将制氢成本降至28元/kg以下。</w:t>
        <w:br/>
        <w:t>示范场景覆盖氢能渣土车、重卡、物流车等交通领域，累计试运行超过一年，供低碳氢超40吨，服务车辆逾400余台，全面验证“制-储-加-用”氢能闭环模式。通过“车-站-槽”协同示范，推动氢能装备产业化。</w:t>
        <w:br/>
        <w:br/>
        <w:br/>
        <w:t>在三一集团低碳化战略指引下，三一氢能坚定贯彻“质量优先”战略，秉持“不卷价格、卷质量”的发展理念，全面推进“3+1”产品矩阵（圆形槽、方形槽、PEM槽、BOP系统）布局，深入拓展氢化工、氢冶金、氢交通、天然气掺氢等多元应用场景，加速制氢装备向高端化、工程化、产业化迈进。为行业高质量发展贡献“三一力量”与“三一方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