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6大氢能应用方向入选《工业和信息化绿色低碳标准重点研究方向（2025－2027年）》</w:t>
      </w:r>
    </w:p>
    <w:p>
      <w:r>
        <w:t>原文链接: https://news.bjx.com.cn/html/20250630/1448693.shtml</w:t>
      </w:r>
    </w:p>
    <w:p>
      <w:r>
        <w:t>发布日期: 2025-06-30</w:t>
      </w:r>
    </w:p>
    <w:p>
      <w:r>
        <w:t>内容:</w:t>
      </w:r>
    </w:p>
    <w:p>
      <w:r>
        <w:t>为切实发挥标准对工业和信息化绿色低碳领域的引领和支撑作用，健全完善绿色低碳标准体系，近日，工业和信息化部组织编制了《关于深入推进工业和信息化绿色低碳标准化工作的实施方案》，披露了《工业和信息化绿色低碳标准重点研究方向（2025－2027年）》，包含碱性水电解制氢系统能效评价要求、焦炉煤气制取氢气技术规范、高炉喷吹富氢还原性气体技术规范、氢基非高炉炼铁第2部分技术要求、清洁低碳氢制绿色甲醇生产技术规范、清洁低碳氢制绿色合成氨生产技术规范六大氢能应用方向。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