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报价人竞争力不足！吉电股份绿色甲醇项目采购终止</w:t>
      </w:r>
    </w:p>
    <w:p>
      <w:r>
        <w:t>原文链接: https://news.bjx.com.cn/html/20250702/1449116.shtml</w:t>
      </w:r>
    </w:p>
    <w:p>
      <w:r>
        <w:t>发布日期: 2025-07-02</w:t>
      </w:r>
    </w:p>
    <w:p>
      <w:r>
        <w:t>内容:</w:t>
      </w:r>
    </w:p>
    <w:p>
      <w:r>
        <w:t>北极星氢能网获悉，6月30日，吉电股份梨树风光制绿氢生物质耦合绿色甲醇项目社会稳定风险评估服务询价采购终止公告发布。</w:t>
        <w:br/>
        <w:t>公告显示，因所参与项目报价人竞争力不足，本次项目终止。此项目将于近期重新发布询价公告。</w:t>
        <w:br/>
        <w:br/>
        <w:t>6月24日，吉电股份-梨树风光制绿氢生物质耦合绿色甲醇项目社会稳 定风险评估服务询价采购公告发布。</w:t>
        <w:br/>
        <w:t>6月20日，吉电股份发布公告称，其控股子公司上海吉远绿色能源有限公司的全资子公司吉远（四平）绿色能源有限公司，拟投资49.2亿元建设梨树绿色甲醇创新示范项目。</w:t>
        <w:br/>
        <w:t>根据公告，该项目是吉电股份落地的首个绿色甲醇创新示范项目，位于吉林省四平市梨树县。新能源部分规划布局风电装机规模40万千瓦，配套建设10兆瓦/20兆瓦时的电化学储能装置（或采用租赁方式），合成甲醇部分则将建设20万吨级甲醇合成装置。</w:t>
        <w:br/>
        <w:t>在投资与效益方面，该项目建设工期预计27个月，资本金财务内部收益率为8.88%，投资回收期为13.86年。资金来源方面，项目资本金不低于总投资的20%，剩余建设资金将通过银行贷款方式筹集。</w:t>
        <w:br/>
        <w:t>2024年5月28日，梨树风光制绿氢生物质耦合绿色甲醇项目（化工部分）获备案。上海吉远绿色能源有限公司拟投资255665.12万元建设一套20万吨级生物质气化制取甲醇装置，安装40台1000Nm³/h碱液制氢+16台200Nm³/hPEM制氢设备，合计制氢能力43200Nm³/h，计划2024年11月开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