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28台碱性电解槽！中广核2个风光制氢项目备案</w:t>
      </w:r>
    </w:p>
    <w:p>
      <w:r>
        <w:t>原文链接: https://news.bjx.com.cn/html/20250723/1452403.shtml</w:t>
      </w:r>
    </w:p>
    <w:p>
      <w:r>
        <w:t>发布日期: 2025-07-23</w:t>
      </w:r>
    </w:p>
    <w:p>
      <w:r>
        <w:t>内容:</w:t>
      </w:r>
    </w:p>
    <w:p>
      <w:r>
        <w:t>北极星氢能网获悉，7月21日，中广核太阳能开发有限公司海南区风光制氢一体化项目（制氢部分）、中广核科尔沁右翼前旗风光制氢醇一体化项目（制氢站部分）获备案，项目总投资合计189712.27万元。</w:t>
        <w:br/>
        <w:t>中广核太阳能开发有限公司海南区风光制氢一体化项目（制氢部分）建设地点在乌海市--海南区--乌海市高新技术产业开发区低碳产业园，总投资33432.27万元，项目单位为中广核太阳能开发有限公司。本期规模建设为32000Nm³/h的制氢厂，主要包括：20台1200Nm³/h碱性电解水制氢设备和8台1000Nm³/h碱性电解水制氢设备及其配套的气液分离和氢气纯化装置，产品氢气纯度99.999％。</w:t>
        <w:br/>
        <w:t>划建设起止年限：2025/08至2026/08。</w:t>
        <w:br/>
        <w:t>中广核科尔沁右翼前旗风光制氢醇一体化项目（制氢站部分）建设地点在兴安盟科尔沁右翼前旗，总投资156280万元，项目单位为中广核（兴安盟）能源科技有限公司。本项目场址位于兴安盟经济技术开发区，项目用地面积约500亩，项目选用制氢能力约11.2万标立方米/小时电解槽，可实现年制氢量为5.56万吨。建设制氢站一座，制氢能力为5.56万吨/年的电解水制氢设备及其附属设施。</w:t>
        <w:br/>
        <w:t>计划建设起止年限：2025/09至2026/12。</w:t>
        <w:br/>
        <w:t>项目详情如下：</w:t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