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注资2.36亿！蜀道、丰田成立氢能合资公司</w:t>
      </w:r>
    </w:p>
    <w:p>
      <w:r>
        <w:t>原文链接: https://news.bjx.com.cn/html/20250730/1453579.shtml</w:t>
      </w:r>
    </w:p>
    <w:p>
      <w:r>
        <w:t>发布日期: 2025-07-30</w:t>
      </w:r>
    </w:p>
    <w:p>
      <w:r>
        <w:t>内容:</w:t>
      </w:r>
    </w:p>
    <w:p>
      <w:r>
        <w:t>北极星氢能网获悉，近日，蜀道丰田氢能科技（四川）有限公司成立，注册资本2.36亿元，经营范围包含：非居住房地产租赁；电动汽车充电基础设施运营；机动车充电销售等。企查查股权穿透显示，蜀道装备持股45%，蜀道集团持股5%，丰田汽车持股50%。</w:t>
        <w:br/>
        <w:br/>
        <w:t>公开资料显示，蜀道集团是四川省属国企，目前，集团总资产超1.5万亿元，所属全资及控股企业500余家，其中拥有四川路桥、四川成渝、蜀道装备、宏达股份、新筑股份5家上市公司。</w:t>
        <w:br/>
        <w:t>蜀道装备成立于2008年，2016年在深交所上市，2024年实现营业收入8.62亿元，同比增长28.9%；归属于上市公司股东净利润7236.68万元，同比增长121.67%。</w:t>
        <w:br/>
        <w:t>近年来，蜀道装备持续加强在LNG、氢能源等清洁能源领域的布局。2024年，公司揭牌成立氢能工程技术研发中心；与成都武侯资本集团合资设立新公司，积极推进城市加氢站项目布局；参与“成渝氢走廊”加氢网络建设，布局制氢（液化）加氢一体化等项目。</w:t>
        <w:br/>
        <w:t>丰田汽车也在氢能源赛道布局已久，该公司曾推出世界首款量产氢燃料电池车型MIRAI，并将氢能应用拓展到巴士、卡车、叉车等商用车领域。丰田此前与一汽、广汽、亿华通等中国企业均有氢能领域的合作。</w:t>
        <w:br/>
        <w:t>今年4月15日，蜀道集团、蜀道装备公司、丰田汽车公司三方就共同设立合资公司签订合作协议。协议各方将整合优势资源，在氢燃料电池研发、生产及拓展氢能商业化应用方面开展深度合作。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