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重塑能源发布2025中期报告：营收同比下降9.9%！</w:t>
      </w:r>
    </w:p>
    <w:p>
      <w:r>
        <w:t>原文链接: https://news.bjx.com.cn/html/20250811/1455267.shtml</w:t>
      </w:r>
    </w:p>
    <w:p>
      <w:r>
        <w:t>发布日期: 2025-08-11</w:t>
      </w:r>
    </w:p>
    <w:p>
      <w:r>
        <w:t>内容:</w:t>
      </w:r>
    </w:p>
    <w:p>
      <w:r>
        <w:t>北极星氢能网获悉，近日，重塑能源发布公告，截至2025年6月30日止6个月的中期业绩，总收入约为人民币1.07亿元，较2024年同期减少约9.9%。</w:t>
        <w:br/>
        <w:t>其中，氢燃料电池系统的销售收入较2024年同期增加约141.8%，来源于海外地区的收入较2024年同期增加约360.3%；公司拥有人应占亏损约为人民币3.3亿元，而过往期间公司拥有人应占亏损约为人民币4.66亿元；拥有人应占亏损较过往期间减少约28.7%；截至2025年6月30日止6个月并无宣派任何股息。</w:t>
        <w:br/>
        <w:br/>
        <w:t>收入减少主要由于零部件销售较2024年同期下降所致。于报告期间，燃料电池系统收入约为人民币0.768亿元，于过往期间约为人民币0.318亿元，增加约141.8%，客户需求及订单较2024年同期增长，收入结构有所优化。</w:t>
        <w:br/>
        <w:br/>
        <w:t>企业毛利由过往期间的约人民币-0.174亿元增加至报告期间的约人民币-0.135亿元，毛利率由过往期间的约-14.6%增加至报告期间的约-12.6%，主要由于销售结构变化，2025年上半年盈利性较好的燃料电池系统销售占比上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