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风电3.4GW！国家能源集团规划建设10GW绿色氢氨项目！</w:t>
      </w:r>
    </w:p>
    <w:p>
      <w:r>
        <w:t>原文链接: https://news.bjx.com.cn/html/20250811/1455183.shtml</w:t>
      </w:r>
    </w:p>
    <w:p>
      <w:r>
        <w:t>发布日期: 2025-08-11</w:t>
      </w:r>
    </w:p>
    <w:p>
      <w:r>
        <w:t>内容:</w:t>
      </w:r>
    </w:p>
    <w:p>
      <w:r>
        <w:t>近日，国家能源集团国华投资国华巴彦淖尔（乌拉特中旗）风电有限公司乌拉特中旗风电制氢氨一体化项目前期咨询服务公开招标。</w:t>
        <w:br/>
        <w:t>文件显示，内蒙古巴彦淖尔市风电等效利用小时数可达3600小时以上，国华投资拟在此规划建设1000万千瓦新能源，300万吨绿色燃（原）料。</w:t>
        <w:br/>
        <w:t>乌拉特中旗风电制氢氨一体化项目为一期先导项目，拟建设340万千瓦风电，配置电化学储能系统，配套建设电解水制氢站和年产百万吨级合成氨站。</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