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注资10亿！一国企成立氢能公司</w:t>
      </w:r>
    </w:p>
    <w:p>
      <w:r>
        <w:t>原文链接: https://news.bjx.com.cn/html/20250820/1456693.shtml</w:t>
      </w:r>
    </w:p>
    <w:p>
      <w:r>
        <w:t>发布日期: 2025-08-20</w:t>
      </w:r>
    </w:p>
    <w:p>
      <w:r>
        <w:t>内容:</w:t>
      </w:r>
    </w:p>
    <w:p>
      <w:r>
        <w:t>北极星氢能网获悉，8月18日，湖北绿冶氢能产业创新发展有限公司成立，注册资本10亿元，该公司由湖北光谷东控股集团有限公司全资控股。</w:t>
        <w:br/>
        <w:br/>
        <w:t>该公司由湖北光谷东控股集团负责管理运营，锚定氢能全产业链发展，引进国内先进经验，重点布局风光规模化发电业务、制储加氢业务、氢能交通应用业务、氢能工业规模化应用业务、氢基绿色能源业务、零碳园区业务等六大核心业务方向。</w:t>
        <w:br/>
        <w:t>据悉，湖北光谷东控股集团有限公司是大冶市政府授权组建、省政府批准设立的国有独资公司。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