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中冶京诚焦炉煤气制氢项目投运</w:t>
      </w:r>
    </w:p>
    <w:p>
      <w:r>
        <w:t>原文链接: https://news.bjx.com.cn/html/20250908/1459751.shtml</w:t>
      </w:r>
    </w:p>
    <w:p>
      <w:r>
        <w:t>发布日期: 2025-09-08</w:t>
      </w:r>
    </w:p>
    <w:p>
      <w:r>
        <w:t>内容:</w:t>
      </w:r>
    </w:p>
    <w:p>
      <w:r>
        <w:t>近日，由中冶京诚工程技术有限公司总承包的广西宏旺新材料科技有限公司高性能硅钢（一期）制氢站项目正式投运，为钢铁行业绿色低碳转型注入新动能。​</w:t>
        <w:br/>
        <w:t>该项目采用变压吸附法（PSA）核心技术，从焦炉煤气中成功提取纯度高达 99.999% 的高纯氢气，将直接为广西宏旺高性能冷轧硅钢生产线提供核心能源保障。作为中冶京诚首个焦炉煤气制氢项目，其投运后可显著提升冷轧硅钢产品的电磁性能与表面光洁度，为新能源汽车电机、变压器等高端制造领域提供关键材料支撑，助力产业链升级。​</w:t>
        <w:br/>
        <w:t>项目执行期间，中冶京诚团队直面广西高温多雨、场地狭小等挑战，通过创新设计与精益管理破局：采用双层垂直布局，将焦炉煤气压缩机精准部署于主厂房第二层，既节约用地又预留发展空间；施工中严格把控安装调试精度，将设备运行震动值控制在远优于国家及行业标准的水平，为设备长期安全稳定运行筑牢保障。​</w:t>
        <w:br/>
        <w:t>此次项目顺利投产，不仅彰显了中冶京诚在煤气处理与综合利用领域的深厚技术实力，为钢铁产业绿色升级奠定坚实基础，更成为氢冶金技术推广应用的重要实践范例，为推动钢铁行业低碳转型提供有力参考。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