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年产60万吨绿色甲醇/+40万吨绿氨！金风科技拟投建189亿风电制氢氨醇项目</w:t>
      </w:r>
    </w:p>
    <w:p>
      <w:r>
        <w:t>原文链接: https://news.bjx.com.cn/html/20250912/1460804.shtml</w:t>
      </w:r>
    </w:p>
    <w:p>
      <w:r>
        <w:t>发布日期: 2025-09-12</w:t>
      </w:r>
    </w:p>
    <w:p>
      <w:r>
        <w:t>内容:</w:t>
      </w:r>
    </w:p>
    <w:p>
      <w:r>
        <w:t>9月10日，金风科技召开第九届董事会第五次会议，审议通过了《关于金风科技乌拉特中旗3GW风氢氨醇一体化项目签订投资协议并开展申报工作的议案》。</w:t>
        <w:br/>
        <w:t>同意公司基于内蒙古风氢氨醇一体化项目申报政策要求，进行项目申报及获取项目开发权。公司全资子公司乌拉特中旗金风润航新能源科技有限公司将进行化工侧项目备案以及出具《落实投资承诺函》，同时公司拟与巴彦淖尔市人民政府签订《风电制氢氨醇一体化项目投资开发协议书》，计划在巴彦淖尔市辖区内投资建设风电制氢氨醇项目，总投资金额约为189.2亿元人民币。</w:t>
        <w:br/>
        <w:br/>
        <w:t>项目名称：乌拉特中旗3GW风电制氢氨醇一体化项目（暂定名， 最终以实际备案/核准名称为准）。</w:t>
        <w:br/>
        <w:t>总投资金额：约189.2亿元人民币。</w:t>
        <w:br/>
        <w:t>投资进度：项目由公司根据实际情况分期投资开发。</w:t>
        <w:br/>
        <w:t>项目地址：内蒙古巴彦淖尔市乌拉特中旗</w:t>
        <w:br/>
        <w:t>建设内容：项目总体规划建设3GW风电，所发电力80%以上用于电解水制绿氢，通过生物质气化耦合绿氢制取绿色甲醇60万吨/年、制取绿氨40万吨/年。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