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中船派瑞最新AEM电解槽发布！2025中船集团氢能日圆满落幕</w:t>
      </w:r>
    </w:p>
    <w:p>
      <w:r>
        <w:t>原文链接: https://news.bjx.com.cn/html/20251201/1472518.shtml</w:t>
      </w:r>
    </w:p>
    <w:p>
      <w:r>
        <w:t>发布日期: 2025-12-01</w:t>
      </w:r>
    </w:p>
    <w:p>
      <w:r>
        <w:t>内容:</w:t>
      </w:r>
    </w:p>
    <w:p>
      <w:r>
        <w:t>11月28日，以"氢启未来，共创零碳生态"为主题的“2025中船集团氢能日”活动在河北邯郸举行。本活动由中国船舶集团有限公司主办，来自知名企业、行业协会、科研机构、高等院校等120余位业界代表齐聚古城，共商氢能产业高质量发展大计。</w:t>
        <w:br/>
        <w:br/>
        <w:t>在"双碳"战略引领下，氢能已被明确列为战略性新兴产业和未来产业。作为我国氢能装备领域重要开拓者，中船集团依托六十余年氢能技术积淀，整合旗下七一二所、七一八所、七二五所打造在氢能“制、储、运、用”全链条上的创新装备与一体化解决方案。</w:t>
        <w:br/>
        <w:t>本次活动旨在搭建行业高水平交流平台，深度解读产业政策与技术趋势，加速推动氢能装备规模化与商业化应用，深入探讨氢能领域全新合作模式。中船集团通过成果发布、专题报告、能力展示三大核心环节，围绕绿氢制备、固体氧化物燃料电池、氢能储运装备等前沿领域进行了深入研讨。</w:t>
        <w:br/>
        <w:br/>
        <w:t>活动期间，中船（邯郸）派瑞氢能科技有限公司（以下简称“中船派瑞氢能”）发布全新阴离子交换膜（AEM）电解槽，兼具碱性电解（ALK）的经济性与质子交换膜（PEM）的灵活性，为绿氢制备开辟“低成本+高性能”的第三极；中船双瑞（洛阳）特种装备股份有限公司推出加氢站用50MPa储氢瓶组，助力加氢站安全再进阶。同期，中船集团与上海重塑集团完成船用燃料电池发电系统签约，进一步凝聚了产业共识，深化了产学研用协同创新。</w:t>
        <w:br/>
        <w:t>作为中船集团旗下国内制氢装备领域的领军企业，中船派瑞氢能已完全掌握ALK、PEM、AEM等制氢技术路线。此次发布的AEM电解槽实现了从材料到系统的全链条自主可控：</w:t>
        <w:br/>
        <w:br/>
        <w:t>材料端，自研阴离子交换膜同步实现高离子电导率、优异机械强度与化学稳定性，非贵金属催化剂彻底摆脱铂系依赖，独创一体化膜电极工艺显著优化三相界面反应效率；</w:t>
        <w:br/>
        <w:t>设计端，流场耦合仿真+AI拓扑优化构建高效气液传输通道，实现高电流密度、低能耗与长寿命的统一；</w:t>
        <w:br/>
        <w:t>系统端，低浓度碱液运行简化运维，智能热管理实时优化电堆与外部换热耦合，宽负载波动完美匹配可再生能源“间歇性”特征。</w:t>
        <w:br/>
        <w:t>目前，该系统已形成10–50Nm³/h产氢量产品矩阵，能耗低至4.5–4.8 kWh/Nm³ H₂，氢气纯度≥99.9%，运行压力0–1.6MPa，模块化设计既可分布式灵活布局，也可通过电解槽串并联扩展至兆瓦级以上大规模应用，配套制氢大数据云平台，可实时监控小室电压、故障预警与远程诊断，为终端用户保驾护航。</w:t>
        <w:br/>
        <w:t>未来，中船集团将持续以专业技术力量赋能中国氢能产业，携手业界同仁，聚力创新突破，共筑合作发展新生态，为我国构建清洁、低碳、安全、高效的能源体系贡献中船力量。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