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关于深能鄂托克前旗风光制氢一体化合成绿氨项目的声明</w:t>
      </w:r>
    </w:p>
    <w:p>
      <w:r>
        <w:t>原文链接: https://news.bjx.com.cn/html/20251201/1472408.shtml</w:t>
      </w:r>
    </w:p>
    <w:p>
      <w:r>
        <w:t>发布日期: 2025-12-01</w:t>
      </w:r>
    </w:p>
    <w:p>
      <w:r>
        <w:t>内容:</w:t>
      </w:r>
    </w:p>
    <w:p>
      <w:r>
        <w:t>11月18日，鄂托克前旗能源局发布了《关于同意深能北方（鄂托克前旗）能源开发有限公司撤销鄂托克前旗风光制氢一体化合成绿氨项目250MW光伏发电项目及电解水制氢站工程项目备案的说明》，说明显示撤销原因为“因企业战略布局调整”。</w:t>
        <w:br/>
        <w:t>11月27日，深能北方能源控股有限公司（简称“深能北控”）发布《关于深能鄂托克前旗风光制氢一体化合成绿氨项目的声明》，声明显示，该项目并未真正撤销，仅是新能源配比调整，项目仍在持续推进中。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