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36套250Nm³/hPEM电解槽二次招标</w:t>
      </w:r>
    </w:p>
    <w:p>
      <w:r>
        <w:t>原文链接: https://news.bjx.com.cn/html/20251201/1472414.shtml</w:t>
      </w:r>
    </w:p>
    <w:p>
      <w:r>
        <w:t>发布日期: 2025-12-01</w:t>
      </w:r>
    </w:p>
    <w:p>
      <w:r>
        <w:t>内容:</w:t>
      </w:r>
    </w:p>
    <w:p>
      <w:r>
        <w:t>11月29日，中国招标投标公共服务平台发布格盟宜和新能源有限责任公司察右前旗风光制氢一体化项目（一期）制氢端成套设备采购二次招标公告。</w:t>
        <w:br/>
        <w:t>建设规模：额定产氢量9000Nm3/h，最大产氢量为10800Nm3/h的电解水制氢装置。</w:t>
        <w:br/>
        <w:t>交货期：合同签订后三个半月内交付PEM首台套（含PEM电解槽、气液分离系统、氢气纯化干燥系统及 辅助设施）及全套公用系统设备，四个半月完成所有设备交货。最终交货时间以卖方通知为准。</w:t>
        <w:br/>
        <w:t>项目简介：察右前旗风光制氢一体化项目分为新能源端（含送出线路、储能）和制氢端，拟采用离网 制氢方式，利用50MW风电制氢，主要包括：新能源端：新能源装机规模为50MW风电、送电线路、风电及储能必要的公辅工程和配套设施；制氢端：35kV预制舱式开关站、IGBT整流电源成套设备、PEM水电解制氢成套设备、绿电制氢一体化调控 平台、氢气充装装置、储氢设施及必要的公辅工程和配套设施。</w:t>
        <w:br/>
        <w:t>本次招标范围：001不分标段</w:t>
        <w:br/>
        <w:t>本项目作为设备集成，范围包括（但不限于）：</w:t>
        <w:br/>
        <w:t>1）35kV预制舱式开关站成套设备；</w:t>
        <w:br/>
        <w:t>2）IGBT整流电源成套设备；</w:t>
        <w:br/>
        <w:t>3）PEM水电解制氢系统成套设备；</w:t>
        <w:br/>
        <w:t>4）绿电制氢一体化调控平台成套设备。</w:t>
        <w:br/>
        <w:t>投标人负责察右前旗风光制氢一体化项目本次招标范围的供货、指导安装、调试、售后服务、培训以及 其他相关联的各项工作。</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