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B2447"/>
            <w:tcMar>
              <w:top w:w="260" w:type="dxa"/>
              <w:bottom w:w="260" w:type="dxa"/>
              <w:left w:w="240" w:type="dxa"/>
              <w:right w:w="240" w:type="dxa"/>
            </w:tcMar>
          </w:tcPr>
          <w:p>
            <w:pPr>
              <w:jc w:val="center"/>
            </w:pPr>
            <w:r>
              <w:rPr>
                <w:rFonts w:ascii="Arial" w:hAnsi="Arial"/>
                <w:b/>
                <w:color w:val="FFFFFF"/>
                <w:sz w:val="40"/>
              </w:rPr>
              <w:t>ISML LMS – AI &amp; INTELLIGENT ASSISTANCE</w:t>
            </w:r>
          </w:p>
          <w:p>
            <w:pPr>
              <w:jc w:val="center"/>
            </w:pPr>
            <w:r>
              <w:rPr>
                <w:rFonts w:ascii="Arial" w:hAnsi="Arial"/>
                <w:color w:val="E0F2FE"/>
                <w:sz w:val="22"/>
              </w:rPr>
              <w:t>Comprehensive Product Specification &amp; Functional Architecture Guide</w:t>
            </w:r>
          </w:p>
        </w:tc>
      </w:tr>
    </w:tbl>
    <w:p>
      <w:pPr>
        <w:spacing w:after="200"/>
      </w:pPr>
    </w:p>
    <w:p>
      <w:pPr>
        <w:spacing w:before="360" w:after="120"/>
      </w:pPr>
      <w:r>
        <w:rPr>
          <w:rFonts w:ascii="Arial" w:hAnsi="Arial"/>
          <w:b/>
          <w:color w:val="0B2447"/>
          <w:sz w:val="30"/>
        </w:rPr>
        <w:t>1. Document Purpose &amp; Architectural Scope</w:t>
      </w:r>
    </w:p>
    <w:p>
      <w:pPr>
        <w:spacing w:after="120" w:line="276" w:lineRule="auto"/>
      </w:pPr>
      <w:r>
        <w:rPr>
          <w:rFonts w:ascii="Arial" w:hAnsi="Arial"/>
          <w:color w:val="1E293B"/>
          <w:sz w:val="20"/>
        </w:rPr>
        <w:t>This document provides an exhaustive functional specification of the Artificial Intelligence capabilities embedded within the ISML Learning Management System (LMS). Designed for senior leadership, academic directors, and product stakeholders, it details the architectural features, operational workflows, user capabilities, and governance models for all core AI assistants.</w:t>
      </w:r>
    </w:p>
    <w:p>
      <w:pPr>
        <w:spacing w:after="120" w:line="276" w:lineRule="auto"/>
      </w:pPr>
      <w:r>
        <w:rPr>
          <w:rFonts w:ascii="Arial" w:hAnsi="Arial"/>
          <w:color w:val="1E293B"/>
          <w:sz w:val="20"/>
        </w:rPr>
        <w:t>To ensure maximum enterprise reliability and operational focus, the Minimum Viable Product (MVP) scope is strictly defined around exactly 5 Core AI Assistants: 4 assistants dedicated to student learning, practice, and career outcomes, and 1 assistant dedicated to academic team lesson preparation and resource creation.</w:t>
      </w:r>
    </w:p>
    <w:tbl>
      <w:tblPr>
        <w:tblW w:type="auto" w:w="0"/>
        <w:jc w:val="center"/>
        <w:tblLook w:firstColumn="1" w:firstRow="1" w:lastColumn="0" w:lastRow="0" w:noHBand="0" w:noVBand="1" w:val="04A0"/>
      </w:tblPr>
      <w:tblGrid>
        <w:gridCol w:w="10080"/>
      </w:tblGrid>
      <w:tr>
        <w:tc>
          <w:tcPr>
            <w:tcW w:type="dxa" w:w="10080"/>
            <w:shd w:fill="F0F9FF"/>
            <w:tcBorders>
              <w:top w:val="single" w:sz="8" w:space="0" w:color="1E3A8A"/>
              <w:left w:val="single" w:sz="8" w:space="0" w:color="1E3A8A"/>
              <w:bottom w:val="single" w:sz="8" w:space="0" w:color="1E3A8A"/>
              <w:right w:val="single" w:sz="8" w:space="0" w:color="1E3A8A"/>
            </w:tcBorders>
            <w:tcMar>
              <w:top w:w="140" w:type="dxa"/>
              <w:bottom w:w="140" w:type="dxa"/>
              <w:left w:w="180" w:type="dxa"/>
              <w:right w:w="180" w:type="dxa"/>
            </w:tcMar>
          </w:tcPr>
          <w:p>
            <w:r>
              <w:rPr>
                <w:rFonts w:ascii="Arial" w:hAnsi="Arial"/>
                <w:b/>
                <w:color w:val="0B2447"/>
                <w:sz w:val="22"/>
              </w:rPr>
              <w:t>PRODUCT SCOPE: 5 CORE MVP ASSISTANTS</w:t>
              <w:br/>
            </w:r>
            <w:r>
              <w:rPr>
                <w:rFonts w:ascii="Arial" w:hAnsi="Arial"/>
                <w:color w:val="1E293B"/>
                <w:sz w:val="19"/>
              </w:rPr>
              <w:t>Student-Focused (4 Assistants): Doubt Assistant, Speaking &amp; Pronunciation Assistant, Career Guidance Assistant, Job Recommendation Assistant.</w:t>
              <w:br/>
              <w:t>Academic Team-Focused (1 Assistant): Resource Assistant.</w:t>
            </w:r>
          </w:p>
        </w:tc>
      </w:tr>
    </w:tbl>
    <w:p>
      <w:pPr>
        <w:spacing w:after="200"/>
      </w:pPr>
    </w:p>
    <w:p>
      <w:pPr>
        <w:spacing w:before="360" w:after="120"/>
      </w:pPr>
      <w:r>
        <w:rPr>
          <w:rFonts w:ascii="Arial" w:hAnsi="Arial"/>
          <w:b/>
          <w:color w:val="0B2447"/>
          <w:sz w:val="30"/>
        </w:rPr>
        <w:t>2. Detailed Functional Breakdown of the 5 Core MVP AI Assistants</w:t>
      </w:r>
    </w:p>
    <w:p>
      <w:pPr>
        <w:spacing w:before="240" w:after="80"/>
      </w:pPr>
      <w:r>
        <w:rPr>
          <w:rFonts w:ascii="Arial" w:hAnsi="Arial"/>
          <w:b/>
          <w:color w:val="1E3A8A"/>
          <w:sz w:val="24"/>
        </w:rPr>
        <w:t>2.01 Assistant 01: AI Doubt Assistant (Student-Focused Learning Support)</w:t>
      </w:r>
    </w:p>
    <w:p>
      <w:pPr>
        <w:spacing w:after="120" w:line="276" w:lineRule="auto"/>
      </w:pPr>
      <w:r>
        <w:rPr>
          <w:rFonts w:ascii="Arial" w:hAnsi="Arial"/>
          <w:b/>
          <w:color w:val="1E293B"/>
          <w:sz w:val="20"/>
        </w:rPr>
        <w:t xml:space="preserve">System Overview: </w:t>
      </w:r>
      <w:r>
        <w:rPr>
          <w:rFonts w:ascii="Arial" w:hAnsi="Arial"/>
          <w:color w:val="1E293B"/>
          <w:sz w:val="20"/>
        </w:rPr>
        <w:t>The AI Doubt Assistant provides 24/7 on-demand academic doubt resolution for students engaged in self-study or coursework revision. It functions as an interactive tutor capable of clarifying complex concepts, grammar rules, vocabulary definitions, and domain-specific topics in simple, structured language.</w:t>
      </w:r>
    </w:p>
    <w:p>
      <w:pPr>
        <w:spacing w:after="120" w:line="276" w:lineRule="auto"/>
      </w:pPr>
      <w:r>
        <w:rPr>
          <w:rFonts w:ascii="Arial" w:hAnsi="Arial"/>
          <w:color w:val="1E293B"/>
          <w:sz w:val="20"/>
        </w:rPr>
        <w:t>Key Functional Features &amp; Capabilities:</w:t>
      </w:r>
    </w:p>
    <w:p>
      <w:pPr>
        <w:spacing w:after="60" w:line="276" w:lineRule="auto"/>
        <w:ind w:left="360"/>
      </w:pPr>
      <w:r>
        <w:rPr>
          <w:rFonts w:ascii="Arial" w:hAnsi="Arial"/>
          <w:color w:val="1E3A8A"/>
          <w:sz w:val="20"/>
        </w:rPr>
        <w:t xml:space="preserve">• </w:t>
      </w:r>
      <w:r>
        <w:rPr>
          <w:rFonts w:ascii="Arial" w:hAnsi="Arial"/>
          <w:b/>
          <w:color w:val="1E293B"/>
          <w:sz w:val="20"/>
        </w:rPr>
        <w:t xml:space="preserve">Multi-Format Query Support: </w:t>
      </w:r>
      <w:r>
        <w:rPr>
          <w:rFonts w:ascii="Arial" w:hAnsi="Arial"/>
          <w:color w:val="1E293B"/>
          <w:sz w:val="20"/>
        </w:rPr>
        <w:t>Accepts text inputs, pasted passages, and voice-to-text queries for seamless user interaction.</w:t>
      </w:r>
    </w:p>
    <w:p>
      <w:pPr>
        <w:spacing w:after="60" w:line="276" w:lineRule="auto"/>
        <w:ind w:left="360"/>
      </w:pPr>
      <w:r>
        <w:rPr>
          <w:rFonts w:ascii="Arial" w:hAnsi="Arial"/>
          <w:color w:val="1E3A8A"/>
          <w:sz w:val="20"/>
        </w:rPr>
        <w:t xml:space="preserve">• </w:t>
      </w:r>
      <w:r>
        <w:rPr>
          <w:rFonts w:ascii="Arial" w:hAnsi="Arial"/>
          <w:b/>
          <w:color w:val="1E293B"/>
          <w:sz w:val="20"/>
        </w:rPr>
        <w:t xml:space="preserve">Pedagogical Explanation Engine: </w:t>
      </w:r>
      <w:r>
        <w:rPr>
          <w:rFonts w:ascii="Arial" w:hAnsi="Arial"/>
          <w:color w:val="1E293B"/>
          <w:sz w:val="20"/>
        </w:rPr>
        <w:t>Delivers step-by-step breakdowns, key terminology highlights, and practical real-world examples rather than just direct answers.</w:t>
      </w:r>
    </w:p>
    <w:p>
      <w:pPr>
        <w:spacing w:after="60" w:line="276" w:lineRule="auto"/>
        <w:ind w:left="360"/>
      </w:pPr>
      <w:r>
        <w:rPr>
          <w:rFonts w:ascii="Arial" w:hAnsi="Arial"/>
          <w:color w:val="1E3A8A"/>
          <w:sz w:val="20"/>
        </w:rPr>
        <w:t xml:space="preserve">• </w:t>
      </w:r>
      <w:r>
        <w:rPr>
          <w:rFonts w:ascii="Arial" w:hAnsi="Arial"/>
          <w:b/>
          <w:color w:val="1E293B"/>
          <w:sz w:val="20"/>
        </w:rPr>
        <w:t xml:space="preserve">Subject &amp; Curriculum Context Alignment: </w:t>
      </w:r>
      <w:r>
        <w:rPr>
          <w:rFonts w:ascii="Arial" w:hAnsi="Arial"/>
          <w:color w:val="1E293B"/>
          <w:sz w:val="20"/>
        </w:rPr>
        <w:t>Restricts responses strictly to approved course topics, ensuring educational alignment without hallucinations or irrelevant off-topic output.</w:t>
      </w:r>
    </w:p>
    <w:p>
      <w:pPr>
        <w:spacing w:after="60" w:line="276" w:lineRule="auto"/>
        <w:ind w:left="360"/>
      </w:pPr>
      <w:r>
        <w:rPr>
          <w:rFonts w:ascii="Arial" w:hAnsi="Arial"/>
          <w:color w:val="1E3A8A"/>
          <w:sz w:val="20"/>
        </w:rPr>
        <w:t xml:space="preserve">• </w:t>
      </w:r>
      <w:r>
        <w:rPr>
          <w:rFonts w:ascii="Arial" w:hAnsi="Arial"/>
          <w:b/>
          <w:color w:val="1E293B"/>
          <w:sz w:val="20"/>
        </w:rPr>
        <w:t xml:space="preserve">Contextual Follow-Up Interface: </w:t>
      </w:r>
      <w:r>
        <w:rPr>
          <w:rFonts w:ascii="Arial" w:hAnsi="Arial"/>
          <w:color w:val="1E293B"/>
          <w:sz w:val="20"/>
        </w:rPr>
        <w:t>Allows students to ask clarifying follow-up questions within the same conversational thread to ensure complete comprehension.</w:t>
      </w:r>
    </w:p>
    <w:p>
      <w:pPr>
        <w:spacing w:after="60" w:line="276" w:lineRule="auto"/>
        <w:ind w:left="360"/>
      </w:pPr>
      <w:r>
        <w:rPr>
          <w:rFonts w:ascii="Arial" w:hAnsi="Arial"/>
          <w:color w:val="1E3A8A"/>
          <w:sz w:val="20"/>
        </w:rPr>
        <w:t xml:space="preserve">• </w:t>
      </w:r>
      <w:r>
        <w:rPr>
          <w:rFonts w:ascii="Arial" w:hAnsi="Arial"/>
          <w:b/>
          <w:color w:val="1E293B"/>
          <w:sz w:val="20"/>
        </w:rPr>
        <w:t xml:space="preserve">Language Level Adaptation: </w:t>
      </w:r>
      <w:r>
        <w:rPr>
          <w:rFonts w:ascii="Arial" w:hAnsi="Arial"/>
          <w:color w:val="1E293B"/>
          <w:sz w:val="20"/>
        </w:rPr>
        <w:t>Automatically tailors explanation complexity based on the student's current proficiency level (Basic, Intermediate, Advanced).</w:t>
      </w:r>
    </w:p>
    <w:p>
      <w:pPr>
        <w:spacing w:after="120" w:line="276" w:lineRule="auto"/>
      </w:pPr>
      <w:r>
        <w:rPr>
          <w:rFonts w:ascii="Arial" w:hAnsi="Arial"/>
          <w:b/>
          <w:color w:val="1E293B"/>
          <w:sz w:val="20"/>
        </w:rPr>
        <w:t xml:space="preserve">Operational Workflow: </w:t>
      </w:r>
      <w:r>
        <w:rPr>
          <w:rFonts w:ascii="Arial" w:hAnsi="Arial"/>
          <w:color w:val="1E293B"/>
          <w:sz w:val="20"/>
        </w:rPr>
        <w:t>Student submits doubt -&gt; AI parses query against course knowledge base -&gt; System generates structured explanation with examples -&gt; Student reviews and confirms understanding or asks follow-up -&gt; Query log stored for academic review.</w:t>
      </w:r>
    </w:p>
    <w:p>
      <w:pPr>
        <w:spacing w:after="120" w:line="276" w:lineRule="auto"/>
      </w:pPr>
      <w:r>
        <w:rPr>
          <w:rFonts w:ascii="Arial" w:hAnsi="Arial"/>
          <w:b/>
          <w:color w:val="1E293B"/>
          <w:sz w:val="20"/>
        </w:rPr>
        <w:t xml:space="preserve">Human-in-the-Loop &amp; Governance Controls: </w:t>
      </w:r>
      <w:r>
        <w:rPr>
          <w:rFonts w:ascii="Arial" w:hAnsi="Arial"/>
          <w:color w:val="1E293B"/>
          <w:sz w:val="20"/>
        </w:rPr>
        <w:t>If an answer cannot be resolved with high confidence or if the student flags the response, the query is automatically routed to human faculty for review.</w:t>
      </w:r>
    </w:p>
    <w:p>
      <w:pPr>
        <w:spacing w:after="120" w:line="276" w:lineRule="auto"/>
      </w:pPr>
      <w:r>
        <w:rPr>
          <w:rFonts w:ascii="Arial" w:hAnsi="Arial"/>
          <w:b/>
          <w:color w:val="1E293B"/>
          <w:sz w:val="20"/>
        </w:rPr>
        <w:t xml:space="preserve">Primary Managerial ROI Indicator: </w:t>
      </w:r>
      <w:r>
        <w:rPr>
          <w:rFonts w:ascii="Arial" w:hAnsi="Arial"/>
          <w:color w:val="1E293B"/>
          <w:sz w:val="20"/>
        </w:rPr>
        <w:t>Eliminates student learning bottlenecks immediately; reduces basic faculty query load by 60%.</w:t>
      </w:r>
    </w:p>
    <w:p>
      <w:pPr>
        <w:spacing w:after="160"/>
      </w:pPr>
    </w:p>
    <w:p>
      <w:pPr>
        <w:spacing w:before="240" w:after="80"/>
      </w:pPr>
      <w:r>
        <w:rPr>
          <w:rFonts w:ascii="Arial" w:hAnsi="Arial"/>
          <w:b/>
          <w:color w:val="1E3A8A"/>
          <w:sz w:val="24"/>
        </w:rPr>
        <w:t>2.02 Assistant 02: AI Speaking &amp; Pronunciation Assistant (Student-Focused Communication &amp; Language Practice)</w:t>
      </w:r>
    </w:p>
    <w:p>
      <w:pPr>
        <w:spacing w:after="120" w:line="276" w:lineRule="auto"/>
      </w:pPr>
      <w:r>
        <w:rPr>
          <w:rFonts w:ascii="Arial" w:hAnsi="Arial"/>
          <w:b/>
          <w:color w:val="1E293B"/>
          <w:sz w:val="20"/>
        </w:rPr>
        <w:t xml:space="preserve">System Overview: </w:t>
      </w:r>
      <w:r>
        <w:rPr>
          <w:rFonts w:ascii="Arial" w:hAnsi="Arial"/>
          <w:color w:val="1E293B"/>
          <w:sz w:val="20"/>
        </w:rPr>
        <w:t>The AI Speaking &amp; Pronunciation Assistant is an interactive voice-based coach designed to build oral fluency, pronunciation accuracy, and conversational confidence. It enables students to practice speaking in a low-anxiety, automated environment with immediate, objective feedback.</w:t>
      </w:r>
    </w:p>
    <w:p>
      <w:pPr>
        <w:spacing w:after="120" w:line="276" w:lineRule="auto"/>
      </w:pPr>
      <w:r>
        <w:rPr>
          <w:rFonts w:ascii="Arial" w:hAnsi="Arial"/>
          <w:color w:val="1E293B"/>
          <w:sz w:val="20"/>
        </w:rPr>
        <w:t>Key Functional Features &amp; Capabilities:</w:t>
      </w:r>
    </w:p>
    <w:p>
      <w:pPr>
        <w:spacing w:after="60" w:line="276" w:lineRule="auto"/>
        <w:ind w:left="360"/>
      </w:pPr>
      <w:r>
        <w:rPr>
          <w:rFonts w:ascii="Arial" w:hAnsi="Arial"/>
          <w:color w:val="1E3A8A"/>
          <w:sz w:val="20"/>
        </w:rPr>
        <w:t xml:space="preserve">• </w:t>
      </w:r>
      <w:r>
        <w:rPr>
          <w:rFonts w:ascii="Arial" w:hAnsi="Arial"/>
          <w:b/>
          <w:color w:val="1E293B"/>
          <w:sz w:val="20"/>
        </w:rPr>
        <w:t xml:space="preserve">Speech-to-Text &amp; Phonetic Analysis: </w:t>
      </w:r>
      <w:r>
        <w:rPr>
          <w:rFonts w:ascii="Arial" w:hAnsi="Arial"/>
          <w:color w:val="1E293B"/>
          <w:sz w:val="20"/>
        </w:rPr>
        <w:t>Captures audio input and analyzes pronunciation, intonation, speech rate, and grammatical structure in real time.</w:t>
      </w:r>
    </w:p>
    <w:p>
      <w:pPr>
        <w:spacing w:after="60" w:line="276" w:lineRule="auto"/>
        <w:ind w:left="360"/>
      </w:pPr>
      <w:r>
        <w:rPr>
          <w:rFonts w:ascii="Arial" w:hAnsi="Arial"/>
          <w:color w:val="1E3A8A"/>
          <w:sz w:val="20"/>
        </w:rPr>
        <w:t xml:space="preserve">• </w:t>
      </w:r>
      <w:r>
        <w:rPr>
          <w:rFonts w:ascii="Arial" w:hAnsi="Arial"/>
          <w:b/>
          <w:color w:val="1E293B"/>
          <w:sz w:val="20"/>
        </w:rPr>
        <w:t xml:space="preserve">Guided Scenario &amp; Prompt Drills: </w:t>
      </w:r>
      <w:r>
        <w:rPr>
          <w:rFonts w:ascii="Arial" w:hAnsi="Arial"/>
          <w:color w:val="1E293B"/>
          <w:sz w:val="20"/>
        </w:rPr>
        <w:t>Provides structured speaking tasks, read-aloud exercises, professional workplace prompts, and conversational roleplays.</w:t>
      </w:r>
    </w:p>
    <w:p>
      <w:pPr>
        <w:spacing w:after="60" w:line="276" w:lineRule="auto"/>
        <w:ind w:left="360"/>
      </w:pPr>
      <w:r>
        <w:rPr>
          <w:rFonts w:ascii="Arial" w:hAnsi="Arial"/>
          <w:color w:val="1E3A8A"/>
          <w:sz w:val="20"/>
        </w:rPr>
        <w:t xml:space="preserve">• </w:t>
      </w:r>
      <w:r>
        <w:rPr>
          <w:rFonts w:ascii="Arial" w:hAnsi="Arial"/>
          <w:b/>
          <w:color w:val="1E293B"/>
          <w:sz w:val="20"/>
        </w:rPr>
        <w:t xml:space="preserve">Granular Error Highlighting: </w:t>
      </w:r>
      <w:r>
        <w:rPr>
          <w:rFonts w:ascii="Arial" w:hAnsi="Arial"/>
          <w:color w:val="1E293B"/>
          <w:sz w:val="20"/>
        </w:rPr>
        <w:t>Displays visual feedback pinpointing mispronounced words, awkward pauses, or grammatical errors with audio correction models.</w:t>
      </w:r>
    </w:p>
    <w:p>
      <w:pPr>
        <w:spacing w:after="60" w:line="276" w:lineRule="auto"/>
        <w:ind w:left="360"/>
      </w:pPr>
      <w:r>
        <w:rPr>
          <w:rFonts w:ascii="Arial" w:hAnsi="Arial"/>
          <w:color w:val="1E3A8A"/>
          <w:sz w:val="20"/>
        </w:rPr>
        <w:t xml:space="preserve">• </w:t>
      </w:r>
      <w:r>
        <w:rPr>
          <w:rFonts w:ascii="Arial" w:hAnsi="Arial"/>
          <w:b/>
          <w:color w:val="1E293B"/>
          <w:sz w:val="20"/>
        </w:rPr>
        <w:t xml:space="preserve">Unlimited Repeat Practice: </w:t>
      </w:r>
      <w:r>
        <w:rPr>
          <w:rFonts w:ascii="Arial" w:hAnsi="Arial"/>
          <w:color w:val="1E293B"/>
          <w:sz w:val="20"/>
        </w:rPr>
        <w:t>Allows students to practice sentences repeatedly until target fluency scores are achieved.</w:t>
      </w:r>
    </w:p>
    <w:p>
      <w:pPr>
        <w:spacing w:after="60" w:line="276" w:lineRule="auto"/>
        <w:ind w:left="360"/>
      </w:pPr>
      <w:r>
        <w:rPr>
          <w:rFonts w:ascii="Arial" w:hAnsi="Arial"/>
          <w:color w:val="1E3A8A"/>
          <w:sz w:val="20"/>
        </w:rPr>
        <w:t xml:space="preserve">• </w:t>
      </w:r>
      <w:r>
        <w:rPr>
          <w:rFonts w:ascii="Arial" w:hAnsi="Arial"/>
          <w:b/>
          <w:color w:val="1E293B"/>
          <w:sz w:val="20"/>
        </w:rPr>
        <w:t xml:space="preserve">Fluency &amp; Progress Analytics: </w:t>
      </w:r>
      <w:r>
        <w:rPr>
          <w:rFonts w:ascii="Arial" w:hAnsi="Arial"/>
          <w:color w:val="1E293B"/>
          <w:sz w:val="20"/>
        </w:rPr>
        <w:t>Tracks speaking score improvements over time and reports performance metrics to student profiles.</w:t>
      </w:r>
    </w:p>
    <w:p>
      <w:pPr>
        <w:spacing w:after="120" w:line="276" w:lineRule="auto"/>
      </w:pPr>
      <w:r>
        <w:rPr>
          <w:rFonts w:ascii="Arial" w:hAnsi="Arial"/>
          <w:b/>
          <w:color w:val="1E293B"/>
          <w:sz w:val="20"/>
        </w:rPr>
        <w:t xml:space="preserve">Operational Workflow: </w:t>
      </w:r>
      <w:r>
        <w:rPr>
          <w:rFonts w:ascii="Arial" w:hAnsi="Arial"/>
          <w:color w:val="1E293B"/>
          <w:sz w:val="20"/>
        </w:rPr>
        <w:t>Student selects speaking module -&gt; System displays prompt/script -&gt; Student records voice input -&gt; Speech engine evaluates acoustics and grammar -&gt; Real-time score and correction displayed -&gt; Performance recorded in profile.</w:t>
      </w:r>
    </w:p>
    <w:p>
      <w:pPr>
        <w:spacing w:after="120" w:line="276" w:lineRule="auto"/>
      </w:pPr>
      <w:r>
        <w:rPr>
          <w:rFonts w:ascii="Arial" w:hAnsi="Arial"/>
          <w:b/>
          <w:color w:val="1E293B"/>
          <w:sz w:val="20"/>
        </w:rPr>
        <w:t xml:space="preserve">Human-in-the-Loop &amp; Governance Controls: </w:t>
      </w:r>
      <w:r>
        <w:rPr>
          <w:rFonts w:ascii="Arial" w:hAnsi="Arial"/>
          <w:color w:val="1E293B"/>
          <w:sz w:val="20"/>
        </w:rPr>
        <w:t>Aggregated audio scores are visible to language instructors to identify students needing targeted classroom support.</w:t>
      </w:r>
    </w:p>
    <w:p>
      <w:pPr>
        <w:spacing w:after="120" w:line="276" w:lineRule="auto"/>
      </w:pPr>
      <w:r>
        <w:rPr>
          <w:rFonts w:ascii="Arial" w:hAnsi="Arial"/>
          <w:b/>
          <w:color w:val="1E293B"/>
          <w:sz w:val="20"/>
        </w:rPr>
        <w:t xml:space="preserve">Primary Managerial ROI Indicator: </w:t>
      </w:r>
      <w:r>
        <w:rPr>
          <w:rFonts w:ascii="Arial" w:hAnsi="Arial"/>
          <w:color w:val="1E293B"/>
          <w:sz w:val="20"/>
        </w:rPr>
        <w:t>Scales individual speaking practice to thousands of students without requiring additional oral evaluators.</w:t>
      </w:r>
    </w:p>
    <w:p>
      <w:pPr>
        <w:spacing w:after="160"/>
      </w:pPr>
    </w:p>
    <w:p>
      <w:pPr>
        <w:spacing w:before="240" w:after="80"/>
      </w:pPr>
      <w:r>
        <w:rPr>
          <w:rFonts w:ascii="Arial" w:hAnsi="Arial"/>
          <w:b/>
          <w:color w:val="1E3A8A"/>
          <w:sz w:val="24"/>
        </w:rPr>
        <w:t>2.03 Assistant 03: AI Career Guidance Assistant (Student-Focused Career &amp; Pathway Planning)</w:t>
      </w:r>
    </w:p>
    <w:p>
      <w:pPr>
        <w:spacing w:after="120" w:line="276" w:lineRule="auto"/>
      </w:pPr>
      <w:r>
        <w:rPr>
          <w:rFonts w:ascii="Arial" w:hAnsi="Arial"/>
          <w:b/>
          <w:color w:val="1E293B"/>
          <w:sz w:val="20"/>
        </w:rPr>
        <w:t xml:space="preserve">System Overview: </w:t>
      </w:r>
      <w:r>
        <w:rPr>
          <w:rFonts w:ascii="Arial" w:hAnsi="Arial"/>
          <w:color w:val="1E293B"/>
          <w:sz w:val="20"/>
        </w:rPr>
        <w:t>The AI Career Guidance Assistant provides personalized academic and career path counseling. It helps students understand industry expectations, identify skill gaps, and map out clear learning milestones to achieve their career goals.</w:t>
      </w:r>
    </w:p>
    <w:p>
      <w:pPr>
        <w:spacing w:after="120" w:line="276" w:lineRule="auto"/>
      </w:pPr>
      <w:r>
        <w:rPr>
          <w:rFonts w:ascii="Arial" w:hAnsi="Arial"/>
          <w:color w:val="1E293B"/>
          <w:sz w:val="20"/>
        </w:rPr>
        <w:t>Key Functional Features &amp; Capabilities:</w:t>
      </w:r>
    </w:p>
    <w:p>
      <w:pPr>
        <w:spacing w:after="60" w:line="276" w:lineRule="auto"/>
        <w:ind w:left="360"/>
      </w:pPr>
      <w:r>
        <w:rPr>
          <w:rFonts w:ascii="Arial" w:hAnsi="Arial"/>
          <w:color w:val="1E3A8A"/>
          <w:sz w:val="20"/>
        </w:rPr>
        <w:t xml:space="preserve">• </w:t>
      </w:r>
      <w:r>
        <w:rPr>
          <w:rFonts w:ascii="Arial" w:hAnsi="Arial"/>
          <w:b/>
          <w:color w:val="1E293B"/>
          <w:sz w:val="20"/>
        </w:rPr>
        <w:t xml:space="preserve">Competency &amp; Skill Gap Analysis: </w:t>
      </w:r>
      <w:r>
        <w:rPr>
          <w:rFonts w:ascii="Arial" w:hAnsi="Arial"/>
          <w:color w:val="1E293B"/>
          <w:sz w:val="20"/>
        </w:rPr>
        <w:t>Evaluates student academic performance within the LMS against industry skill benchmark requirements.</w:t>
      </w:r>
    </w:p>
    <w:p>
      <w:pPr>
        <w:spacing w:after="60" w:line="276" w:lineRule="auto"/>
        <w:ind w:left="360"/>
      </w:pPr>
      <w:r>
        <w:rPr>
          <w:rFonts w:ascii="Arial" w:hAnsi="Arial"/>
          <w:color w:val="1E3A8A"/>
          <w:sz w:val="20"/>
        </w:rPr>
        <w:t xml:space="preserve">• </w:t>
      </w:r>
      <w:r>
        <w:rPr>
          <w:rFonts w:ascii="Arial" w:hAnsi="Arial"/>
          <w:b/>
          <w:color w:val="1E293B"/>
          <w:sz w:val="20"/>
        </w:rPr>
        <w:t xml:space="preserve">Personalized Career Pathway Mapping: </w:t>
      </w:r>
      <w:r>
        <w:rPr>
          <w:rFonts w:ascii="Arial" w:hAnsi="Arial"/>
          <w:color w:val="1E293B"/>
          <w:sz w:val="20"/>
        </w:rPr>
        <w:t>Generates tailored recommendations detailing suitable job roles, specialization tracks, and industry certifications.</w:t>
      </w:r>
    </w:p>
    <w:p>
      <w:pPr>
        <w:spacing w:after="60" w:line="276" w:lineRule="auto"/>
        <w:ind w:left="360"/>
      </w:pPr>
      <w:r>
        <w:rPr>
          <w:rFonts w:ascii="Arial" w:hAnsi="Arial"/>
          <w:color w:val="1E3A8A"/>
          <w:sz w:val="20"/>
        </w:rPr>
        <w:t xml:space="preserve">• </w:t>
      </w:r>
      <w:r>
        <w:rPr>
          <w:rFonts w:ascii="Arial" w:hAnsi="Arial"/>
          <w:b/>
          <w:color w:val="1E293B"/>
          <w:sz w:val="20"/>
        </w:rPr>
        <w:t xml:space="preserve">Actionable Next-Step Advisory: </w:t>
      </w:r>
      <w:r>
        <w:rPr>
          <w:rFonts w:ascii="Arial" w:hAnsi="Arial"/>
          <w:color w:val="1E293B"/>
          <w:sz w:val="20"/>
        </w:rPr>
        <w:t>Recommends specific LMS modules, supplementary reading, and resume-building activities to bridge identified skill gaps.</w:t>
      </w:r>
    </w:p>
    <w:p>
      <w:pPr>
        <w:spacing w:after="60" w:line="276" w:lineRule="auto"/>
        <w:ind w:left="360"/>
      </w:pPr>
      <w:r>
        <w:rPr>
          <w:rFonts w:ascii="Arial" w:hAnsi="Arial"/>
          <w:color w:val="1E3A8A"/>
          <w:sz w:val="20"/>
        </w:rPr>
        <w:t xml:space="preserve">• </w:t>
      </w:r>
      <w:r>
        <w:rPr>
          <w:rFonts w:ascii="Arial" w:hAnsi="Arial"/>
          <w:b/>
          <w:color w:val="1E293B"/>
          <w:sz w:val="20"/>
        </w:rPr>
        <w:t xml:space="preserve">Interactive Goal Setting: </w:t>
      </w:r>
      <w:r>
        <w:rPr>
          <w:rFonts w:ascii="Arial" w:hAnsi="Arial"/>
          <w:color w:val="1E293B"/>
          <w:sz w:val="20"/>
        </w:rPr>
        <w:t>Enables students to define career target timelines and tracks progress toward meeting requisite qualifications.</w:t>
      </w:r>
    </w:p>
    <w:p>
      <w:pPr>
        <w:spacing w:after="120" w:line="276" w:lineRule="auto"/>
      </w:pPr>
      <w:r>
        <w:rPr>
          <w:rFonts w:ascii="Arial" w:hAnsi="Arial"/>
          <w:b/>
          <w:color w:val="1E293B"/>
          <w:sz w:val="20"/>
        </w:rPr>
        <w:t xml:space="preserve">Operational Workflow: </w:t>
      </w:r>
      <w:r>
        <w:rPr>
          <w:rFonts w:ascii="Arial" w:hAnsi="Arial"/>
          <w:color w:val="1E293B"/>
          <w:sz w:val="20"/>
        </w:rPr>
        <w:t>Student completes career profile survey -&gt; System correlates profile with LMS course completion data -&gt; AI generates career roadmap report -&gt; Student receives recommended next steps and course modules.</w:t>
      </w:r>
    </w:p>
    <w:p>
      <w:pPr>
        <w:spacing w:after="120" w:line="276" w:lineRule="auto"/>
      </w:pPr>
      <w:r>
        <w:rPr>
          <w:rFonts w:ascii="Arial" w:hAnsi="Arial"/>
          <w:b/>
          <w:color w:val="1E293B"/>
          <w:sz w:val="20"/>
        </w:rPr>
        <w:t xml:space="preserve">Human-in-the-Loop &amp; Governance Controls: </w:t>
      </w:r>
      <w:r>
        <w:rPr>
          <w:rFonts w:ascii="Arial" w:hAnsi="Arial"/>
          <w:color w:val="1E293B"/>
          <w:sz w:val="20"/>
        </w:rPr>
        <w:t>Career advisors receive flagged reports for students requiring comprehensive human counseling.</w:t>
      </w:r>
    </w:p>
    <w:p>
      <w:pPr>
        <w:spacing w:after="120" w:line="276" w:lineRule="auto"/>
      </w:pPr>
      <w:r>
        <w:rPr>
          <w:rFonts w:ascii="Arial" w:hAnsi="Arial"/>
          <w:b/>
          <w:color w:val="1E293B"/>
          <w:sz w:val="20"/>
        </w:rPr>
        <w:t xml:space="preserve">Primary Managerial ROI Indicator: </w:t>
      </w:r>
      <w:r>
        <w:rPr>
          <w:rFonts w:ascii="Arial" w:hAnsi="Arial"/>
          <w:color w:val="1E293B"/>
          <w:sz w:val="20"/>
        </w:rPr>
        <w:t>Provides universal, personalized career guidance to 100% of enrolled students at zero incremental operational cost.</w:t>
      </w:r>
    </w:p>
    <w:p>
      <w:pPr>
        <w:spacing w:after="160"/>
      </w:pPr>
    </w:p>
    <w:p>
      <w:pPr>
        <w:spacing w:before="240" w:after="80"/>
      </w:pPr>
      <w:r>
        <w:rPr>
          <w:rFonts w:ascii="Arial" w:hAnsi="Arial"/>
          <w:b/>
          <w:color w:val="1E3A8A"/>
          <w:sz w:val="24"/>
        </w:rPr>
        <w:t>2.04 Assistant 04: AI Job Recommendation Assistant (Student-Focused Placement &amp; Employability)</w:t>
      </w:r>
    </w:p>
    <w:p>
      <w:pPr>
        <w:spacing w:after="120" w:line="276" w:lineRule="auto"/>
      </w:pPr>
      <w:r>
        <w:rPr>
          <w:rFonts w:ascii="Arial" w:hAnsi="Arial"/>
          <w:b/>
          <w:color w:val="1E293B"/>
          <w:sz w:val="20"/>
        </w:rPr>
        <w:t xml:space="preserve">System Overview: </w:t>
      </w:r>
      <w:r>
        <w:rPr>
          <w:rFonts w:ascii="Arial" w:hAnsi="Arial"/>
          <w:color w:val="1E293B"/>
          <w:sz w:val="20"/>
        </w:rPr>
        <w:t>The AI Job Recommendation Assistant connects student skill profiles with suitable job opportunities. It assists students in identifying entry-level vacancies, understanding job descriptions, and preparing tailored job application strategies.</w:t>
      </w:r>
    </w:p>
    <w:p>
      <w:pPr>
        <w:spacing w:after="120" w:line="276" w:lineRule="auto"/>
      </w:pPr>
      <w:r>
        <w:rPr>
          <w:rFonts w:ascii="Arial" w:hAnsi="Arial"/>
          <w:color w:val="1E293B"/>
          <w:sz w:val="20"/>
        </w:rPr>
        <w:t>Key Functional Features &amp; Capabilities:</w:t>
      </w:r>
    </w:p>
    <w:p>
      <w:pPr>
        <w:spacing w:after="60" w:line="276" w:lineRule="auto"/>
        <w:ind w:left="360"/>
      </w:pPr>
      <w:r>
        <w:rPr>
          <w:rFonts w:ascii="Arial" w:hAnsi="Arial"/>
          <w:color w:val="1E3A8A"/>
          <w:sz w:val="20"/>
        </w:rPr>
        <w:t xml:space="preserve">• </w:t>
      </w:r>
      <w:r>
        <w:rPr>
          <w:rFonts w:ascii="Arial" w:hAnsi="Arial"/>
          <w:b/>
          <w:color w:val="1E293B"/>
          <w:sz w:val="20"/>
        </w:rPr>
        <w:t xml:space="preserve">Automated Competency Matching: </w:t>
      </w:r>
      <w:r>
        <w:rPr>
          <w:rFonts w:ascii="Arial" w:hAnsi="Arial"/>
          <w:color w:val="1E293B"/>
          <w:sz w:val="20"/>
        </w:rPr>
        <w:t>Scans student achievements, module test scores, and profile tags to calculate job match scores for open vacancies.</w:t>
      </w:r>
    </w:p>
    <w:p>
      <w:pPr>
        <w:spacing w:after="60" w:line="276" w:lineRule="auto"/>
        <w:ind w:left="360"/>
      </w:pPr>
      <w:r>
        <w:rPr>
          <w:rFonts w:ascii="Arial" w:hAnsi="Arial"/>
          <w:color w:val="1E3A8A"/>
          <w:sz w:val="20"/>
        </w:rPr>
        <w:t xml:space="preserve">• </w:t>
      </w:r>
      <w:r>
        <w:rPr>
          <w:rFonts w:ascii="Arial" w:hAnsi="Arial"/>
          <w:b/>
          <w:color w:val="1E293B"/>
          <w:sz w:val="20"/>
        </w:rPr>
        <w:t xml:space="preserve">Market Opportunity Indexing: </w:t>
      </w:r>
      <w:r>
        <w:rPr>
          <w:rFonts w:ascii="Arial" w:hAnsi="Arial"/>
          <w:color w:val="1E293B"/>
          <w:sz w:val="20"/>
        </w:rPr>
        <w:t>Presents filtered job listings aligned with student specialization, geographical preferences, and skill readiness.</w:t>
      </w:r>
    </w:p>
    <w:p>
      <w:pPr>
        <w:spacing w:after="60" w:line="276" w:lineRule="auto"/>
        <w:ind w:left="360"/>
      </w:pPr>
      <w:r>
        <w:rPr>
          <w:rFonts w:ascii="Arial" w:hAnsi="Arial"/>
          <w:color w:val="1E3A8A"/>
          <w:sz w:val="20"/>
        </w:rPr>
        <w:t xml:space="preserve">• </w:t>
      </w:r>
      <w:r>
        <w:rPr>
          <w:rFonts w:ascii="Arial" w:hAnsi="Arial"/>
          <w:b/>
          <w:color w:val="1E293B"/>
          <w:sz w:val="20"/>
        </w:rPr>
        <w:t xml:space="preserve">Application Preparation Guidance: </w:t>
      </w:r>
      <w:r>
        <w:rPr>
          <w:rFonts w:ascii="Arial" w:hAnsi="Arial"/>
          <w:color w:val="1E293B"/>
          <w:sz w:val="20"/>
        </w:rPr>
        <w:t>Provides tips on tailoring resumes and preparing for specific interview questions based on job description analysis.</w:t>
      </w:r>
    </w:p>
    <w:p>
      <w:pPr>
        <w:spacing w:after="60" w:line="276" w:lineRule="auto"/>
        <w:ind w:left="360"/>
      </w:pPr>
      <w:r>
        <w:rPr>
          <w:rFonts w:ascii="Arial" w:hAnsi="Arial"/>
          <w:color w:val="1E3A8A"/>
          <w:sz w:val="20"/>
        </w:rPr>
        <w:t xml:space="preserve">• </w:t>
      </w:r>
      <w:r>
        <w:rPr>
          <w:rFonts w:ascii="Arial" w:hAnsi="Arial"/>
          <w:b/>
          <w:color w:val="1E293B"/>
          <w:sz w:val="20"/>
        </w:rPr>
        <w:t xml:space="preserve">Placement Readiness Scoring: </w:t>
      </w:r>
      <w:r>
        <w:rPr>
          <w:rFonts w:ascii="Arial" w:hAnsi="Arial"/>
          <w:color w:val="1E293B"/>
          <w:sz w:val="20"/>
        </w:rPr>
        <w:t>Provides institution placement cells with aggregated readiness scores for graduating student batches.</w:t>
      </w:r>
    </w:p>
    <w:p>
      <w:pPr>
        <w:spacing w:after="120" w:line="276" w:lineRule="auto"/>
      </w:pPr>
      <w:r>
        <w:rPr>
          <w:rFonts w:ascii="Arial" w:hAnsi="Arial"/>
          <w:b/>
          <w:color w:val="1E293B"/>
          <w:sz w:val="20"/>
        </w:rPr>
        <w:t xml:space="preserve">Operational Workflow: </w:t>
      </w:r>
      <w:r>
        <w:rPr>
          <w:rFonts w:ascii="Arial" w:hAnsi="Arial"/>
          <w:color w:val="1E293B"/>
          <w:sz w:val="20"/>
        </w:rPr>
        <w:t>System ingests job opportunity profiles -&gt; AI algorithms index student competencies -&gt; Personalized job recommendations delivered to student portal -&gt; Student applies with AI-assisted preparation checklist.</w:t>
      </w:r>
    </w:p>
    <w:p>
      <w:pPr>
        <w:spacing w:after="120" w:line="276" w:lineRule="auto"/>
      </w:pPr>
      <w:r>
        <w:rPr>
          <w:rFonts w:ascii="Arial" w:hAnsi="Arial"/>
          <w:b/>
          <w:color w:val="1E293B"/>
          <w:sz w:val="20"/>
        </w:rPr>
        <w:t xml:space="preserve">Human-in-the-Loop &amp; Governance Controls: </w:t>
      </w:r>
      <w:r>
        <w:rPr>
          <w:rFonts w:ascii="Arial" w:hAnsi="Arial"/>
          <w:color w:val="1E293B"/>
          <w:sz w:val="20"/>
        </w:rPr>
        <w:t>Placement office administrators can review matched candidate pools and approve candidates for enterprise campus drives.</w:t>
      </w:r>
    </w:p>
    <w:p>
      <w:pPr>
        <w:spacing w:after="120" w:line="276" w:lineRule="auto"/>
      </w:pPr>
      <w:r>
        <w:rPr>
          <w:rFonts w:ascii="Arial" w:hAnsi="Arial"/>
          <w:b/>
          <w:color w:val="1E293B"/>
          <w:sz w:val="20"/>
        </w:rPr>
        <w:t xml:space="preserve">Primary Managerial ROI Indicator: </w:t>
      </w:r>
      <w:r>
        <w:rPr>
          <w:rFonts w:ascii="Arial" w:hAnsi="Arial"/>
          <w:color w:val="1E293B"/>
          <w:sz w:val="20"/>
        </w:rPr>
        <w:t>Directly enhances institutional placement rates and speeds up candidate selection for partner employers.</w:t>
      </w:r>
    </w:p>
    <w:p>
      <w:pPr>
        <w:spacing w:after="160"/>
      </w:pPr>
    </w:p>
    <w:p>
      <w:pPr>
        <w:spacing w:before="240" w:after="80"/>
      </w:pPr>
      <w:r>
        <w:rPr>
          <w:rFonts w:ascii="Arial" w:hAnsi="Arial"/>
          <w:b/>
          <w:color w:val="1E3A8A"/>
          <w:sz w:val="24"/>
        </w:rPr>
        <w:t>2.05 Assistant 05: AI Resource Assistant (Academic Team-Focused Resource &amp; Content Preparation)</w:t>
      </w:r>
    </w:p>
    <w:p>
      <w:pPr>
        <w:spacing w:after="120" w:line="276" w:lineRule="auto"/>
      </w:pPr>
      <w:r>
        <w:rPr>
          <w:rFonts w:ascii="Arial" w:hAnsi="Arial"/>
          <w:b/>
          <w:color w:val="1E293B"/>
          <w:sz w:val="20"/>
        </w:rPr>
        <w:t xml:space="preserve">System Overview: </w:t>
      </w:r>
      <w:r>
        <w:rPr>
          <w:rFonts w:ascii="Arial" w:hAnsi="Arial"/>
          <w:color w:val="1E293B"/>
          <w:sz w:val="20"/>
        </w:rPr>
        <w:t>The AI Resource Assistant serves as an academic co-pilot for faculty members, instructional designers, and content creators. It automates the generation of lesson materials, practice activities, reading comprehension passages, and presentation outlines.</w:t>
      </w:r>
    </w:p>
    <w:p>
      <w:pPr>
        <w:spacing w:after="120" w:line="276" w:lineRule="auto"/>
      </w:pPr>
      <w:r>
        <w:rPr>
          <w:rFonts w:ascii="Arial" w:hAnsi="Arial"/>
          <w:color w:val="1E293B"/>
          <w:sz w:val="20"/>
        </w:rPr>
        <w:t>Key Functional Features &amp; Capabilities:</w:t>
      </w:r>
    </w:p>
    <w:p>
      <w:pPr>
        <w:spacing w:after="60" w:line="276" w:lineRule="auto"/>
        <w:ind w:left="360"/>
      </w:pPr>
      <w:r>
        <w:rPr>
          <w:rFonts w:ascii="Arial" w:hAnsi="Arial"/>
          <w:color w:val="1E3A8A"/>
          <w:sz w:val="20"/>
        </w:rPr>
        <w:t xml:space="preserve">• </w:t>
      </w:r>
      <w:r>
        <w:rPr>
          <w:rFonts w:ascii="Arial" w:hAnsi="Arial"/>
          <w:b/>
          <w:color w:val="1E293B"/>
          <w:sz w:val="20"/>
        </w:rPr>
        <w:t xml:space="preserve">Multi-Skill Content Generator: </w:t>
      </w:r>
      <w:r>
        <w:rPr>
          <w:rFonts w:ascii="Arial" w:hAnsi="Arial"/>
          <w:color w:val="1E293B"/>
          <w:sz w:val="20"/>
        </w:rPr>
        <w:t>Instantly creates reading passages, listening scripts, vocabulary drill sheets, and grammar exercise sets based on specified parameters.</w:t>
      </w:r>
    </w:p>
    <w:p>
      <w:pPr>
        <w:spacing w:after="60" w:line="276" w:lineRule="auto"/>
        <w:ind w:left="360"/>
      </w:pPr>
      <w:r>
        <w:rPr>
          <w:rFonts w:ascii="Arial" w:hAnsi="Arial"/>
          <w:color w:val="1E3A8A"/>
          <w:sz w:val="20"/>
        </w:rPr>
        <w:t xml:space="preserve">• </w:t>
      </w:r>
      <w:r>
        <w:rPr>
          <w:rFonts w:ascii="Arial" w:hAnsi="Arial"/>
          <w:b/>
          <w:color w:val="1E293B"/>
          <w:sz w:val="20"/>
        </w:rPr>
        <w:t xml:space="preserve">Automated Assessment &amp; Item Banking: </w:t>
      </w:r>
      <w:r>
        <w:rPr>
          <w:rFonts w:ascii="Arial" w:hAnsi="Arial"/>
          <w:color w:val="1E293B"/>
          <w:sz w:val="20"/>
        </w:rPr>
        <w:t>Generates multiple-choice questions, fill-in-the-blank drills, and descriptive test items with answer keys and rationale.</w:t>
      </w:r>
    </w:p>
    <w:p>
      <w:pPr>
        <w:spacing w:after="60" w:line="276" w:lineRule="auto"/>
        <w:ind w:left="360"/>
      </w:pPr>
      <w:r>
        <w:rPr>
          <w:rFonts w:ascii="Arial" w:hAnsi="Arial"/>
          <w:color w:val="1E3A8A"/>
          <w:sz w:val="20"/>
        </w:rPr>
        <w:t xml:space="preserve">• </w:t>
      </w:r>
      <w:r>
        <w:rPr>
          <w:rFonts w:ascii="Arial" w:hAnsi="Arial"/>
          <w:b/>
          <w:color w:val="1E293B"/>
          <w:sz w:val="20"/>
        </w:rPr>
        <w:t xml:space="preserve">Differentiated Learning Level Customization: </w:t>
      </w:r>
      <w:r>
        <w:rPr>
          <w:rFonts w:ascii="Arial" w:hAnsi="Arial"/>
          <w:color w:val="1E293B"/>
          <w:sz w:val="20"/>
        </w:rPr>
        <w:t>Adjusts difficulty levels of generated content (Beginner, Intermediate, Advanced) to cater to varied classroom needs.</w:t>
      </w:r>
    </w:p>
    <w:p>
      <w:pPr>
        <w:spacing w:after="60" w:line="276" w:lineRule="auto"/>
        <w:ind w:left="360"/>
      </w:pPr>
      <w:r>
        <w:rPr>
          <w:rFonts w:ascii="Arial" w:hAnsi="Arial"/>
          <w:color w:val="1E3A8A"/>
          <w:sz w:val="20"/>
        </w:rPr>
        <w:t xml:space="preserve">• </w:t>
      </w:r>
      <w:r>
        <w:rPr>
          <w:rFonts w:ascii="Arial" w:hAnsi="Arial"/>
          <w:b/>
          <w:color w:val="1E293B"/>
          <w:sz w:val="20"/>
        </w:rPr>
        <w:t xml:space="preserve">Presentation Outline Summarizer: </w:t>
      </w:r>
      <w:r>
        <w:rPr>
          <w:rFonts w:ascii="Arial" w:hAnsi="Arial"/>
          <w:color w:val="1E293B"/>
          <w:sz w:val="20"/>
        </w:rPr>
        <w:t>Drafts structured PowerPoint / presentation content frameworks and teaching agendas for upcoming lectures.</w:t>
      </w:r>
    </w:p>
    <w:p>
      <w:pPr>
        <w:spacing w:after="60" w:line="276" w:lineRule="auto"/>
        <w:ind w:left="360"/>
      </w:pPr>
      <w:r>
        <w:rPr>
          <w:rFonts w:ascii="Arial" w:hAnsi="Arial"/>
          <w:color w:val="1E3A8A"/>
          <w:sz w:val="20"/>
        </w:rPr>
        <w:t xml:space="preserve">• </w:t>
      </w:r>
      <w:r>
        <w:rPr>
          <w:rFonts w:ascii="Arial" w:hAnsi="Arial"/>
          <w:b/>
          <w:color w:val="1E293B"/>
          <w:sz w:val="20"/>
        </w:rPr>
        <w:t xml:space="preserve">Seamless LMS Item Bank Export: </w:t>
      </w:r>
      <w:r>
        <w:rPr>
          <w:rFonts w:ascii="Arial" w:hAnsi="Arial"/>
          <w:color w:val="1E293B"/>
          <w:sz w:val="20"/>
        </w:rPr>
        <w:t>Formats generated resources for direct integration into LMS course modules or downloadable PDF/DOCX formats.</w:t>
      </w:r>
    </w:p>
    <w:p>
      <w:pPr>
        <w:spacing w:after="120" w:line="276" w:lineRule="auto"/>
      </w:pPr>
      <w:r>
        <w:rPr>
          <w:rFonts w:ascii="Arial" w:hAnsi="Arial"/>
          <w:b/>
          <w:color w:val="1E293B"/>
          <w:sz w:val="20"/>
        </w:rPr>
        <w:t xml:space="preserve">Operational Workflow: </w:t>
      </w:r>
      <w:r>
        <w:rPr>
          <w:rFonts w:ascii="Arial" w:hAnsi="Arial"/>
          <w:color w:val="1E293B"/>
          <w:sz w:val="20"/>
        </w:rPr>
        <w:t>Teacher enters topic, skill area, and difficulty level -&gt; System generates proposed lesson materials -&gt; Teacher reviews, edits, and refines content -&gt; Resource exported directly to LMS course room or printed worksheet.</w:t>
      </w:r>
    </w:p>
    <w:p>
      <w:pPr>
        <w:spacing w:after="120" w:line="276" w:lineRule="auto"/>
      </w:pPr>
      <w:r>
        <w:rPr>
          <w:rFonts w:ascii="Arial" w:hAnsi="Arial"/>
          <w:b/>
          <w:color w:val="1E293B"/>
          <w:sz w:val="20"/>
        </w:rPr>
        <w:t xml:space="preserve">Human-in-the-Loop &amp; Governance Controls: </w:t>
      </w:r>
      <w:r>
        <w:rPr>
          <w:rFonts w:ascii="Arial" w:hAnsi="Arial"/>
          <w:color w:val="1E293B"/>
          <w:sz w:val="20"/>
        </w:rPr>
        <w:t>All AI-generated content requires teacher review and one-click approval before publication to students.</w:t>
      </w:r>
    </w:p>
    <w:p>
      <w:pPr>
        <w:spacing w:after="120" w:line="276" w:lineRule="auto"/>
      </w:pPr>
      <w:r>
        <w:rPr>
          <w:rFonts w:ascii="Arial" w:hAnsi="Arial"/>
          <w:b/>
          <w:color w:val="1E293B"/>
          <w:sz w:val="20"/>
        </w:rPr>
        <w:t xml:space="preserve">Primary Managerial ROI Indicator: </w:t>
      </w:r>
      <w:r>
        <w:rPr>
          <w:rFonts w:ascii="Arial" w:hAnsi="Arial"/>
          <w:color w:val="1E293B"/>
          <w:sz w:val="20"/>
        </w:rPr>
        <w:t>Reduces faculty content preparation time by 50% to 70%, allowing staff to dedicate more time to active instruction.</w:t>
      </w:r>
    </w:p>
    <w:p>
      <w:pPr>
        <w:spacing w:after="160"/>
      </w:pPr>
    </w:p>
    <w:p>
      <w:pPr>
        <w:spacing w:before="360" w:after="120"/>
      </w:pPr>
      <w:r>
        <w:rPr>
          <w:rFonts w:ascii="Arial" w:hAnsi="Arial"/>
          <w:b/>
          <w:color w:val="0B2447"/>
          <w:sz w:val="30"/>
        </w:rPr>
        <w:t>3. Enterprise Feature Matrix &amp; Operational Control Summary</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728"/>
            <w:shd w:fill="0B2447"/>
            <w:tcMar>
              <w:top w:w="100" w:type="dxa"/>
              <w:bottom w:w="100" w:type="dxa"/>
              <w:left w:w="80" w:type="dxa"/>
              <w:right w:w="80" w:type="dxa"/>
            </w:tcMar>
          </w:tcPr>
          <w:p>
            <w:r>
              <w:rPr>
                <w:rFonts w:ascii="Arial" w:hAnsi="Arial"/>
                <w:b/>
                <w:color w:val="FFFFFF"/>
                <w:sz w:val="18"/>
              </w:rPr>
              <w:t>Assistant Identifier</w:t>
            </w:r>
          </w:p>
        </w:tc>
        <w:tc>
          <w:tcPr>
            <w:tcW w:type="dxa" w:w="1584"/>
            <w:shd w:fill="0B2447"/>
            <w:tcMar>
              <w:top w:w="100" w:type="dxa"/>
              <w:bottom w:w="100" w:type="dxa"/>
              <w:left w:w="80" w:type="dxa"/>
              <w:right w:w="80" w:type="dxa"/>
            </w:tcMar>
          </w:tcPr>
          <w:p>
            <w:r>
              <w:rPr>
                <w:rFonts w:ascii="Arial" w:hAnsi="Arial"/>
                <w:b/>
                <w:color w:val="FFFFFF"/>
                <w:sz w:val="18"/>
              </w:rPr>
              <w:t>Target Audience</w:t>
            </w:r>
          </w:p>
        </w:tc>
        <w:tc>
          <w:tcPr>
            <w:tcW w:type="dxa" w:w="2592"/>
            <w:shd w:fill="0B2447"/>
            <w:tcMar>
              <w:top w:w="100" w:type="dxa"/>
              <w:bottom w:w="100" w:type="dxa"/>
              <w:left w:w="80" w:type="dxa"/>
              <w:right w:w="80" w:type="dxa"/>
            </w:tcMar>
          </w:tcPr>
          <w:p>
            <w:r>
              <w:rPr>
                <w:rFonts w:ascii="Arial" w:hAnsi="Arial"/>
                <w:b/>
                <w:color w:val="FFFFFF"/>
                <w:sz w:val="18"/>
              </w:rPr>
              <w:t>Core Operational Feature</w:t>
            </w:r>
          </w:p>
        </w:tc>
        <w:tc>
          <w:tcPr>
            <w:tcW w:type="dxa" w:w="2016"/>
            <w:shd w:fill="0B2447"/>
            <w:tcMar>
              <w:top w:w="100" w:type="dxa"/>
              <w:bottom w:w="100" w:type="dxa"/>
              <w:left w:w="80" w:type="dxa"/>
              <w:right w:w="80" w:type="dxa"/>
            </w:tcMar>
          </w:tcPr>
          <w:p>
            <w:r>
              <w:rPr>
                <w:rFonts w:ascii="Arial" w:hAnsi="Arial"/>
                <w:b/>
                <w:color w:val="FFFFFF"/>
                <w:sz w:val="18"/>
              </w:rPr>
              <w:t>Control Mechanism</w:t>
            </w:r>
          </w:p>
        </w:tc>
        <w:tc>
          <w:tcPr>
            <w:tcW w:type="dxa" w:w="2160"/>
            <w:shd w:fill="0B2447"/>
            <w:tcMar>
              <w:top w:w="100" w:type="dxa"/>
              <w:bottom w:w="100" w:type="dxa"/>
              <w:left w:w="80" w:type="dxa"/>
              <w:right w:w="80" w:type="dxa"/>
            </w:tcMar>
          </w:tcPr>
          <w:p>
            <w:r>
              <w:rPr>
                <w:rFonts w:ascii="Arial" w:hAnsi="Arial"/>
                <w:b/>
                <w:color w:val="FFFFFF"/>
                <w:sz w:val="18"/>
              </w:rPr>
              <w:t>Expected Business Impact</w:t>
            </w:r>
          </w:p>
        </w:tc>
      </w:tr>
      <w:tr>
        <w:tc>
          <w:tcPr>
            <w:tcW w:type="dxa" w:w="1728"/>
            <w:shd w:fill="F8FAFC"/>
            <w:tcBorders>
              <w:top w:val="single" w:sz="4" w:space="0" w:color="CBD5E1"/>
              <w:left w:val="single" w:sz="4" w:space="0" w:color="CBD5E1"/>
              <w:bottom w:val="single" w:sz="4" w:space="0" w:color="CBD5E1"/>
              <w:right w:val="single" w:sz="4" w:space="0" w:color="CBD5E1"/>
            </w:tcBorders>
            <w:tcMar>
              <w:top w:w="80" w:type="dxa"/>
              <w:bottom w:w="80" w:type="dxa"/>
              <w:left w:w="80" w:type="dxa"/>
              <w:right w:w="80" w:type="dxa"/>
            </w:tcMar>
          </w:tcPr>
          <w:p>
            <w:r>
              <w:rPr>
                <w:rFonts w:ascii="Arial" w:hAnsi="Arial"/>
                <w:b/>
                <w:color w:val="1E3A8A"/>
                <w:sz w:val="17"/>
              </w:rPr>
              <w:t>01. AI Doubt Assistant</w:t>
            </w:r>
          </w:p>
        </w:tc>
        <w:tc>
          <w:tcPr>
            <w:tcW w:type="dxa" w:w="1584"/>
            <w:shd w:fill="F8FAFC"/>
            <w:tcBorders>
              <w:top w:val="single" w:sz="4" w:space="0" w:color="CBD5E1"/>
              <w:left w:val="single" w:sz="4" w:space="0" w:color="CBD5E1"/>
              <w:bottom w:val="single" w:sz="4" w:space="0" w:color="CBD5E1"/>
              <w:right w:val="single" w:sz="4" w:space="0" w:color="CBD5E1"/>
            </w:tcBorders>
            <w:tcMar>
              <w:top w:w="80" w:type="dxa"/>
              <w:bottom w:w="80" w:type="dxa"/>
              <w:left w:w="80" w:type="dxa"/>
              <w:right w:w="80" w:type="dxa"/>
            </w:tcMar>
          </w:tcPr>
          <w:p>
            <w:r>
              <w:rPr>
                <w:rFonts w:ascii="Arial" w:hAnsi="Arial"/>
                <w:color w:val="1E293B"/>
                <w:sz w:val="17"/>
              </w:rPr>
              <w:t>Students</w:t>
            </w:r>
          </w:p>
        </w:tc>
        <w:tc>
          <w:tcPr>
            <w:tcW w:type="dxa" w:w="2592"/>
            <w:shd w:fill="F8FAFC"/>
            <w:tcBorders>
              <w:top w:val="single" w:sz="4" w:space="0" w:color="CBD5E1"/>
              <w:left w:val="single" w:sz="4" w:space="0" w:color="CBD5E1"/>
              <w:bottom w:val="single" w:sz="4" w:space="0" w:color="CBD5E1"/>
              <w:right w:val="single" w:sz="4" w:space="0" w:color="CBD5E1"/>
            </w:tcBorders>
            <w:tcMar>
              <w:top w:w="80" w:type="dxa"/>
              <w:bottom w:w="80" w:type="dxa"/>
              <w:left w:w="80" w:type="dxa"/>
              <w:right w:w="80" w:type="dxa"/>
            </w:tcMar>
          </w:tcPr>
          <w:p>
            <w:r>
              <w:rPr>
                <w:rFonts w:ascii="Arial" w:hAnsi="Arial"/>
                <w:color w:val="1E293B"/>
                <w:sz w:val="17"/>
              </w:rPr>
              <w:t>24/7 Contextual doubt clarification</w:t>
            </w:r>
          </w:p>
        </w:tc>
        <w:tc>
          <w:tcPr>
            <w:tcW w:type="dxa" w:w="2016"/>
            <w:shd w:fill="F8FAFC"/>
            <w:tcBorders>
              <w:top w:val="single" w:sz="4" w:space="0" w:color="CBD5E1"/>
              <w:left w:val="single" w:sz="4" w:space="0" w:color="CBD5E1"/>
              <w:bottom w:val="single" w:sz="4" w:space="0" w:color="CBD5E1"/>
              <w:right w:val="single" w:sz="4" w:space="0" w:color="CBD5E1"/>
            </w:tcBorders>
            <w:tcMar>
              <w:top w:w="80" w:type="dxa"/>
              <w:bottom w:w="80" w:type="dxa"/>
              <w:left w:w="80" w:type="dxa"/>
              <w:right w:w="80" w:type="dxa"/>
            </w:tcMar>
          </w:tcPr>
          <w:p>
            <w:r>
              <w:rPr>
                <w:rFonts w:ascii="Arial" w:hAnsi="Arial"/>
                <w:color w:val="1E293B"/>
                <w:sz w:val="17"/>
              </w:rPr>
              <w:t>Faculty escalation threshold</w:t>
            </w:r>
          </w:p>
        </w:tc>
        <w:tc>
          <w:tcPr>
            <w:tcW w:type="dxa" w:w="2160"/>
            <w:shd w:fill="F8FAFC"/>
            <w:tcBorders>
              <w:top w:val="single" w:sz="4" w:space="0" w:color="CBD5E1"/>
              <w:left w:val="single" w:sz="4" w:space="0" w:color="CBD5E1"/>
              <w:bottom w:val="single" w:sz="4" w:space="0" w:color="CBD5E1"/>
              <w:right w:val="single" w:sz="4" w:space="0" w:color="CBD5E1"/>
            </w:tcBorders>
            <w:tcMar>
              <w:top w:w="80" w:type="dxa"/>
              <w:bottom w:w="80" w:type="dxa"/>
              <w:left w:w="80" w:type="dxa"/>
              <w:right w:w="80" w:type="dxa"/>
            </w:tcMar>
          </w:tcPr>
          <w:p>
            <w:r>
              <w:rPr>
                <w:rFonts w:ascii="Arial" w:hAnsi="Arial"/>
                <w:color w:val="1E293B"/>
                <w:sz w:val="17"/>
              </w:rPr>
              <w:t>60% Reduction in basic query load</w:t>
            </w:r>
          </w:p>
        </w:tc>
      </w:tr>
      <w:tr>
        <w:tc>
          <w:tcPr>
            <w:tcW w:type="dxa" w:w="1728"/>
            <w:shd w:fill="FFFFFF"/>
            <w:tcBorders>
              <w:top w:val="single" w:sz="4" w:space="0" w:color="CBD5E1"/>
              <w:left w:val="single" w:sz="4" w:space="0" w:color="CBD5E1"/>
              <w:bottom w:val="single" w:sz="4" w:space="0" w:color="CBD5E1"/>
              <w:right w:val="single" w:sz="4" w:space="0" w:color="CBD5E1"/>
            </w:tcBorders>
            <w:tcMar>
              <w:top w:w="80" w:type="dxa"/>
              <w:bottom w:w="80" w:type="dxa"/>
              <w:left w:w="80" w:type="dxa"/>
              <w:right w:w="80" w:type="dxa"/>
            </w:tcMar>
          </w:tcPr>
          <w:p>
            <w:r>
              <w:rPr>
                <w:rFonts w:ascii="Arial" w:hAnsi="Arial"/>
                <w:b/>
                <w:color w:val="1E3A8A"/>
                <w:sz w:val="17"/>
              </w:rPr>
              <w:t>02. AI Speaking Assistant</w:t>
            </w:r>
          </w:p>
        </w:tc>
        <w:tc>
          <w:tcPr>
            <w:tcW w:type="dxa" w:w="1584"/>
            <w:shd w:fill="FFFFFF"/>
            <w:tcBorders>
              <w:top w:val="single" w:sz="4" w:space="0" w:color="CBD5E1"/>
              <w:left w:val="single" w:sz="4" w:space="0" w:color="CBD5E1"/>
              <w:bottom w:val="single" w:sz="4" w:space="0" w:color="CBD5E1"/>
              <w:right w:val="single" w:sz="4" w:space="0" w:color="CBD5E1"/>
            </w:tcBorders>
            <w:tcMar>
              <w:top w:w="80" w:type="dxa"/>
              <w:bottom w:w="80" w:type="dxa"/>
              <w:left w:w="80" w:type="dxa"/>
              <w:right w:w="80" w:type="dxa"/>
            </w:tcMar>
          </w:tcPr>
          <w:p>
            <w:r>
              <w:rPr>
                <w:rFonts w:ascii="Arial" w:hAnsi="Arial"/>
                <w:color w:val="1E293B"/>
                <w:sz w:val="17"/>
              </w:rPr>
              <w:t>Students</w:t>
            </w:r>
          </w:p>
        </w:tc>
        <w:tc>
          <w:tcPr>
            <w:tcW w:type="dxa" w:w="2592"/>
            <w:shd w:fill="FFFFFF"/>
            <w:tcBorders>
              <w:top w:val="single" w:sz="4" w:space="0" w:color="CBD5E1"/>
              <w:left w:val="single" w:sz="4" w:space="0" w:color="CBD5E1"/>
              <w:bottom w:val="single" w:sz="4" w:space="0" w:color="CBD5E1"/>
              <w:right w:val="single" w:sz="4" w:space="0" w:color="CBD5E1"/>
            </w:tcBorders>
            <w:tcMar>
              <w:top w:w="80" w:type="dxa"/>
              <w:bottom w:w="80" w:type="dxa"/>
              <w:left w:w="80" w:type="dxa"/>
              <w:right w:w="80" w:type="dxa"/>
            </w:tcMar>
          </w:tcPr>
          <w:p>
            <w:r>
              <w:rPr>
                <w:rFonts w:ascii="Arial" w:hAnsi="Arial"/>
                <w:color w:val="1E293B"/>
                <w:sz w:val="17"/>
              </w:rPr>
              <w:t>Audio speech &amp; fluency feedback</w:t>
            </w:r>
          </w:p>
        </w:tc>
        <w:tc>
          <w:tcPr>
            <w:tcW w:type="dxa" w:w="2016"/>
            <w:shd w:fill="FFFFFF"/>
            <w:tcBorders>
              <w:top w:val="single" w:sz="4" w:space="0" w:color="CBD5E1"/>
              <w:left w:val="single" w:sz="4" w:space="0" w:color="CBD5E1"/>
              <w:bottom w:val="single" w:sz="4" w:space="0" w:color="CBD5E1"/>
              <w:right w:val="single" w:sz="4" w:space="0" w:color="CBD5E1"/>
            </w:tcBorders>
            <w:tcMar>
              <w:top w:w="80" w:type="dxa"/>
              <w:bottom w:w="80" w:type="dxa"/>
              <w:left w:w="80" w:type="dxa"/>
              <w:right w:w="80" w:type="dxa"/>
            </w:tcMar>
          </w:tcPr>
          <w:p>
            <w:r>
              <w:rPr>
                <w:rFonts w:ascii="Arial" w:hAnsi="Arial"/>
                <w:color w:val="1E293B"/>
                <w:sz w:val="17"/>
              </w:rPr>
              <w:t>Instructor progress reports</w:t>
            </w:r>
          </w:p>
        </w:tc>
        <w:tc>
          <w:tcPr>
            <w:tcW w:type="dxa" w:w="2160"/>
            <w:shd w:fill="FFFFFF"/>
            <w:tcBorders>
              <w:top w:val="single" w:sz="4" w:space="0" w:color="CBD5E1"/>
              <w:left w:val="single" w:sz="4" w:space="0" w:color="CBD5E1"/>
              <w:bottom w:val="single" w:sz="4" w:space="0" w:color="CBD5E1"/>
              <w:right w:val="single" w:sz="4" w:space="0" w:color="CBD5E1"/>
            </w:tcBorders>
            <w:tcMar>
              <w:top w:w="80" w:type="dxa"/>
              <w:bottom w:w="80" w:type="dxa"/>
              <w:left w:w="80" w:type="dxa"/>
              <w:right w:w="80" w:type="dxa"/>
            </w:tcMar>
          </w:tcPr>
          <w:p>
            <w:r>
              <w:rPr>
                <w:rFonts w:ascii="Arial" w:hAnsi="Arial"/>
                <w:color w:val="1E293B"/>
                <w:sz w:val="17"/>
              </w:rPr>
              <w:t>3x Increased speaking practice volume</w:t>
            </w:r>
          </w:p>
        </w:tc>
      </w:tr>
      <w:tr>
        <w:tc>
          <w:tcPr>
            <w:tcW w:type="dxa" w:w="1728"/>
            <w:shd w:fill="F8FAFC"/>
            <w:tcBorders>
              <w:top w:val="single" w:sz="4" w:space="0" w:color="CBD5E1"/>
              <w:left w:val="single" w:sz="4" w:space="0" w:color="CBD5E1"/>
              <w:bottom w:val="single" w:sz="4" w:space="0" w:color="CBD5E1"/>
              <w:right w:val="single" w:sz="4" w:space="0" w:color="CBD5E1"/>
            </w:tcBorders>
            <w:tcMar>
              <w:top w:w="80" w:type="dxa"/>
              <w:bottom w:w="80" w:type="dxa"/>
              <w:left w:w="80" w:type="dxa"/>
              <w:right w:w="80" w:type="dxa"/>
            </w:tcMar>
          </w:tcPr>
          <w:p>
            <w:r>
              <w:rPr>
                <w:rFonts w:ascii="Arial" w:hAnsi="Arial"/>
                <w:b/>
                <w:color w:val="1E3A8A"/>
                <w:sz w:val="17"/>
              </w:rPr>
              <w:t>03. AI Career Guidance</w:t>
            </w:r>
          </w:p>
        </w:tc>
        <w:tc>
          <w:tcPr>
            <w:tcW w:type="dxa" w:w="1584"/>
            <w:shd w:fill="F8FAFC"/>
            <w:tcBorders>
              <w:top w:val="single" w:sz="4" w:space="0" w:color="CBD5E1"/>
              <w:left w:val="single" w:sz="4" w:space="0" w:color="CBD5E1"/>
              <w:bottom w:val="single" w:sz="4" w:space="0" w:color="CBD5E1"/>
              <w:right w:val="single" w:sz="4" w:space="0" w:color="CBD5E1"/>
            </w:tcBorders>
            <w:tcMar>
              <w:top w:w="80" w:type="dxa"/>
              <w:bottom w:w="80" w:type="dxa"/>
              <w:left w:w="80" w:type="dxa"/>
              <w:right w:w="80" w:type="dxa"/>
            </w:tcMar>
          </w:tcPr>
          <w:p>
            <w:r>
              <w:rPr>
                <w:rFonts w:ascii="Arial" w:hAnsi="Arial"/>
                <w:color w:val="1E293B"/>
                <w:sz w:val="17"/>
              </w:rPr>
              <w:t>Students</w:t>
            </w:r>
          </w:p>
        </w:tc>
        <w:tc>
          <w:tcPr>
            <w:tcW w:type="dxa" w:w="2592"/>
            <w:shd w:fill="F8FAFC"/>
            <w:tcBorders>
              <w:top w:val="single" w:sz="4" w:space="0" w:color="CBD5E1"/>
              <w:left w:val="single" w:sz="4" w:space="0" w:color="CBD5E1"/>
              <w:bottom w:val="single" w:sz="4" w:space="0" w:color="CBD5E1"/>
              <w:right w:val="single" w:sz="4" w:space="0" w:color="CBD5E1"/>
            </w:tcBorders>
            <w:tcMar>
              <w:top w:w="80" w:type="dxa"/>
              <w:bottom w:w="80" w:type="dxa"/>
              <w:left w:w="80" w:type="dxa"/>
              <w:right w:w="80" w:type="dxa"/>
            </w:tcMar>
          </w:tcPr>
          <w:p>
            <w:r>
              <w:rPr>
                <w:rFonts w:ascii="Arial" w:hAnsi="Arial"/>
                <w:color w:val="1E293B"/>
                <w:sz w:val="17"/>
              </w:rPr>
              <w:t>Skill gap analysis &amp; roadmaps</w:t>
            </w:r>
          </w:p>
        </w:tc>
        <w:tc>
          <w:tcPr>
            <w:tcW w:type="dxa" w:w="2016"/>
            <w:shd w:fill="F8FAFC"/>
            <w:tcBorders>
              <w:top w:val="single" w:sz="4" w:space="0" w:color="CBD5E1"/>
              <w:left w:val="single" w:sz="4" w:space="0" w:color="CBD5E1"/>
              <w:bottom w:val="single" w:sz="4" w:space="0" w:color="CBD5E1"/>
              <w:right w:val="single" w:sz="4" w:space="0" w:color="CBD5E1"/>
            </w:tcBorders>
            <w:tcMar>
              <w:top w:w="80" w:type="dxa"/>
              <w:bottom w:w="80" w:type="dxa"/>
              <w:left w:w="80" w:type="dxa"/>
              <w:right w:w="80" w:type="dxa"/>
            </w:tcMar>
          </w:tcPr>
          <w:p>
            <w:r>
              <w:rPr>
                <w:rFonts w:ascii="Arial" w:hAnsi="Arial"/>
                <w:color w:val="1E293B"/>
                <w:sz w:val="17"/>
              </w:rPr>
              <w:t>Advisor flagged escalations</w:t>
            </w:r>
          </w:p>
        </w:tc>
        <w:tc>
          <w:tcPr>
            <w:tcW w:type="dxa" w:w="2160"/>
            <w:shd w:fill="F8FAFC"/>
            <w:tcBorders>
              <w:top w:val="single" w:sz="4" w:space="0" w:color="CBD5E1"/>
              <w:left w:val="single" w:sz="4" w:space="0" w:color="CBD5E1"/>
              <w:bottom w:val="single" w:sz="4" w:space="0" w:color="CBD5E1"/>
              <w:right w:val="single" w:sz="4" w:space="0" w:color="CBD5E1"/>
            </w:tcBorders>
            <w:tcMar>
              <w:top w:w="80" w:type="dxa"/>
              <w:bottom w:w="80" w:type="dxa"/>
              <w:left w:w="80" w:type="dxa"/>
              <w:right w:w="80" w:type="dxa"/>
            </w:tcMar>
          </w:tcPr>
          <w:p>
            <w:r>
              <w:rPr>
                <w:rFonts w:ascii="Arial" w:hAnsi="Arial"/>
                <w:color w:val="1E293B"/>
                <w:sz w:val="17"/>
              </w:rPr>
              <w:t>100% Student coverage for career guidance</w:t>
            </w:r>
          </w:p>
        </w:tc>
      </w:tr>
      <w:tr>
        <w:tc>
          <w:tcPr>
            <w:tcW w:type="dxa" w:w="1728"/>
            <w:shd w:fill="FFFFFF"/>
            <w:tcBorders>
              <w:top w:val="single" w:sz="4" w:space="0" w:color="CBD5E1"/>
              <w:left w:val="single" w:sz="4" w:space="0" w:color="CBD5E1"/>
              <w:bottom w:val="single" w:sz="4" w:space="0" w:color="CBD5E1"/>
              <w:right w:val="single" w:sz="4" w:space="0" w:color="CBD5E1"/>
            </w:tcBorders>
            <w:tcMar>
              <w:top w:w="80" w:type="dxa"/>
              <w:bottom w:w="80" w:type="dxa"/>
              <w:left w:w="80" w:type="dxa"/>
              <w:right w:w="80" w:type="dxa"/>
            </w:tcMar>
          </w:tcPr>
          <w:p>
            <w:r>
              <w:rPr>
                <w:rFonts w:ascii="Arial" w:hAnsi="Arial"/>
                <w:b/>
                <w:color w:val="1E3A8A"/>
                <w:sz w:val="17"/>
              </w:rPr>
              <w:t>04. AI Job Matcher</w:t>
            </w:r>
          </w:p>
        </w:tc>
        <w:tc>
          <w:tcPr>
            <w:tcW w:type="dxa" w:w="1584"/>
            <w:shd w:fill="FFFFFF"/>
            <w:tcBorders>
              <w:top w:val="single" w:sz="4" w:space="0" w:color="CBD5E1"/>
              <w:left w:val="single" w:sz="4" w:space="0" w:color="CBD5E1"/>
              <w:bottom w:val="single" w:sz="4" w:space="0" w:color="CBD5E1"/>
              <w:right w:val="single" w:sz="4" w:space="0" w:color="CBD5E1"/>
            </w:tcBorders>
            <w:tcMar>
              <w:top w:w="80" w:type="dxa"/>
              <w:bottom w:w="80" w:type="dxa"/>
              <w:left w:w="80" w:type="dxa"/>
              <w:right w:w="80" w:type="dxa"/>
            </w:tcMar>
          </w:tcPr>
          <w:p>
            <w:r>
              <w:rPr>
                <w:rFonts w:ascii="Arial" w:hAnsi="Arial"/>
                <w:color w:val="1E293B"/>
                <w:sz w:val="17"/>
              </w:rPr>
              <w:t>Students</w:t>
            </w:r>
          </w:p>
        </w:tc>
        <w:tc>
          <w:tcPr>
            <w:tcW w:type="dxa" w:w="2592"/>
            <w:shd w:fill="FFFFFF"/>
            <w:tcBorders>
              <w:top w:val="single" w:sz="4" w:space="0" w:color="CBD5E1"/>
              <w:left w:val="single" w:sz="4" w:space="0" w:color="CBD5E1"/>
              <w:bottom w:val="single" w:sz="4" w:space="0" w:color="CBD5E1"/>
              <w:right w:val="single" w:sz="4" w:space="0" w:color="CBD5E1"/>
            </w:tcBorders>
            <w:tcMar>
              <w:top w:w="80" w:type="dxa"/>
              <w:bottom w:w="80" w:type="dxa"/>
              <w:left w:w="80" w:type="dxa"/>
              <w:right w:w="80" w:type="dxa"/>
            </w:tcMar>
          </w:tcPr>
          <w:p>
            <w:r>
              <w:rPr>
                <w:rFonts w:ascii="Arial" w:hAnsi="Arial"/>
                <w:color w:val="1E293B"/>
                <w:sz w:val="17"/>
              </w:rPr>
              <w:t>Competency job role matching</w:t>
            </w:r>
          </w:p>
        </w:tc>
        <w:tc>
          <w:tcPr>
            <w:tcW w:type="dxa" w:w="2016"/>
            <w:shd w:fill="FFFFFF"/>
            <w:tcBorders>
              <w:top w:val="single" w:sz="4" w:space="0" w:color="CBD5E1"/>
              <w:left w:val="single" w:sz="4" w:space="0" w:color="CBD5E1"/>
              <w:bottom w:val="single" w:sz="4" w:space="0" w:color="CBD5E1"/>
              <w:right w:val="single" w:sz="4" w:space="0" w:color="CBD5E1"/>
            </w:tcBorders>
            <w:tcMar>
              <w:top w:w="80" w:type="dxa"/>
              <w:bottom w:w="80" w:type="dxa"/>
              <w:left w:w="80" w:type="dxa"/>
              <w:right w:w="80" w:type="dxa"/>
            </w:tcMar>
          </w:tcPr>
          <w:p>
            <w:r>
              <w:rPr>
                <w:rFonts w:ascii="Arial" w:hAnsi="Arial"/>
                <w:color w:val="1E293B"/>
                <w:sz w:val="17"/>
              </w:rPr>
              <w:t>Placement office approval</w:t>
            </w:r>
          </w:p>
        </w:tc>
        <w:tc>
          <w:tcPr>
            <w:tcW w:type="dxa" w:w="2160"/>
            <w:shd w:fill="FFFFFF"/>
            <w:tcBorders>
              <w:top w:val="single" w:sz="4" w:space="0" w:color="CBD5E1"/>
              <w:left w:val="single" w:sz="4" w:space="0" w:color="CBD5E1"/>
              <w:bottom w:val="single" w:sz="4" w:space="0" w:color="CBD5E1"/>
              <w:right w:val="single" w:sz="4" w:space="0" w:color="CBD5E1"/>
            </w:tcBorders>
            <w:tcMar>
              <w:top w:w="80" w:type="dxa"/>
              <w:bottom w:w="80" w:type="dxa"/>
              <w:left w:w="80" w:type="dxa"/>
              <w:right w:w="80" w:type="dxa"/>
            </w:tcMar>
          </w:tcPr>
          <w:p>
            <w:r>
              <w:rPr>
                <w:rFonts w:ascii="Arial" w:hAnsi="Arial"/>
                <w:color w:val="1E293B"/>
                <w:sz w:val="17"/>
              </w:rPr>
              <w:t>Higher institutional placement percentage</w:t>
            </w:r>
          </w:p>
        </w:tc>
      </w:tr>
      <w:tr>
        <w:tc>
          <w:tcPr>
            <w:tcW w:type="dxa" w:w="1728"/>
            <w:shd w:fill="F8FAFC"/>
            <w:tcBorders>
              <w:top w:val="single" w:sz="4" w:space="0" w:color="CBD5E1"/>
              <w:left w:val="single" w:sz="4" w:space="0" w:color="CBD5E1"/>
              <w:bottom w:val="single" w:sz="4" w:space="0" w:color="CBD5E1"/>
              <w:right w:val="single" w:sz="4" w:space="0" w:color="CBD5E1"/>
            </w:tcBorders>
            <w:tcMar>
              <w:top w:w="80" w:type="dxa"/>
              <w:bottom w:w="80" w:type="dxa"/>
              <w:left w:w="80" w:type="dxa"/>
              <w:right w:w="80" w:type="dxa"/>
            </w:tcMar>
          </w:tcPr>
          <w:p>
            <w:r>
              <w:rPr>
                <w:rFonts w:ascii="Arial" w:hAnsi="Arial"/>
                <w:b/>
                <w:color w:val="1E3A8A"/>
                <w:sz w:val="17"/>
              </w:rPr>
              <w:t>05. AI Resource Assistant</w:t>
            </w:r>
          </w:p>
        </w:tc>
        <w:tc>
          <w:tcPr>
            <w:tcW w:type="dxa" w:w="1584"/>
            <w:shd w:fill="F8FAFC"/>
            <w:tcBorders>
              <w:top w:val="single" w:sz="4" w:space="0" w:color="CBD5E1"/>
              <w:left w:val="single" w:sz="4" w:space="0" w:color="CBD5E1"/>
              <w:bottom w:val="single" w:sz="4" w:space="0" w:color="CBD5E1"/>
              <w:right w:val="single" w:sz="4" w:space="0" w:color="CBD5E1"/>
            </w:tcBorders>
            <w:tcMar>
              <w:top w:w="80" w:type="dxa"/>
              <w:bottom w:w="80" w:type="dxa"/>
              <w:left w:w="80" w:type="dxa"/>
              <w:right w:w="80" w:type="dxa"/>
            </w:tcMar>
          </w:tcPr>
          <w:p>
            <w:r>
              <w:rPr>
                <w:rFonts w:ascii="Arial" w:hAnsi="Arial"/>
                <w:color w:val="1E293B"/>
                <w:sz w:val="17"/>
              </w:rPr>
              <w:t>Academic Staff</w:t>
            </w:r>
          </w:p>
        </w:tc>
        <w:tc>
          <w:tcPr>
            <w:tcW w:type="dxa" w:w="2592"/>
            <w:shd w:fill="F8FAFC"/>
            <w:tcBorders>
              <w:top w:val="single" w:sz="4" w:space="0" w:color="CBD5E1"/>
              <w:left w:val="single" w:sz="4" w:space="0" w:color="CBD5E1"/>
              <w:bottom w:val="single" w:sz="4" w:space="0" w:color="CBD5E1"/>
              <w:right w:val="single" w:sz="4" w:space="0" w:color="CBD5E1"/>
            </w:tcBorders>
            <w:tcMar>
              <w:top w:w="80" w:type="dxa"/>
              <w:bottom w:w="80" w:type="dxa"/>
              <w:left w:w="80" w:type="dxa"/>
              <w:right w:w="80" w:type="dxa"/>
            </w:tcMar>
          </w:tcPr>
          <w:p>
            <w:r>
              <w:rPr>
                <w:rFonts w:ascii="Arial" w:hAnsi="Arial"/>
                <w:color w:val="1E293B"/>
                <w:sz w:val="17"/>
              </w:rPr>
              <w:t>Automated lesson prep &amp; quizzes</w:t>
            </w:r>
          </w:p>
        </w:tc>
        <w:tc>
          <w:tcPr>
            <w:tcW w:type="dxa" w:w="2016"/>
            <w:shd w:fill="F8FAFC"/>
            <w:tcBorders>
              <w:top w:val="single" w:sz="4" w:space="0" w:color="CBD5E1"/>
              <w:left w:val="single" w:sz="4" w:space="0" w:color="CBD5E1"/>
              <w:bottom w:val="single" w:sz="4" w:space="0" w:color="CBD5E1"/>
              <w:right w:val="single" w:sz="4" w:space="0" w:color="CBD5E1"/>
            </w:tcBorders>
            <w:tcMar>
              <w:top w:w="80" w:type="dxa"/>
              <w:bottom w:w="80" w:type="dxa"/>
              <w:left w:w="80" w:type="dxa"/>
              <w:right w:w="80" w:type="dxa"/>
            </w:tcMar>
          </w:tcPr>
          <w:p>
            <w:r>
              <w:rPr>
                <w:rFonts w:ascii="Arial" w:hAnsi="Arial"/>
                <w:color w:val="1E293B"/>
                <w:sz w:val="17"/>
              </w:rPr>
              <w:t>Mandatory teacher approval</w:t>
            </w:r>
          </w:p>
        </w:tc>
        <w:tc>
          <w:tcPr>
            <w:tcW w:type="dxa" w:w="2160"/>
            <w:shd w:fill="F8FAFC"/>
            <w:tcBorders>
              <w:top w:val="single" w:sz="4" w:space="0" w:color="CBD5E1"/>
              <w:left w:val="single" w:sz="4" w:space="0" w:color="CBD5E1"/>
              <w:bottom w:val="single" w:sz="4" w:space="0" w:color="CBD5E1"/>
              <w:right w:val="single" w:sz="4" w:space="0" w:color="CBD5E1"/>
            </w:tcBorders>
            <w:tcMar>
              <w:top w:w="80" w:type="dxa"/>
              <w:bottom w:w="80" w:type="dxa"/>
              <w:left w:w="80" w:type="dxa"/>
              <w:right w:w="80" w:type="dxa"/>
            </w:tcMar>
          </w:tcPr>
          <w:p>
            <w:r>
              <w:rPr>
                <w:rFonts w:ascii="Arial" w:hAnsi="Arial"/>
                <w:color w:val="1E293B"/>
                <w:sz w:val="17"/>
              </w:rPr>
              <w:t>50-70% Saved content prep hours</w:t>
            </w:r>
          </w:p>
        </w:tc>
      </w:tr>
    </w:tbl>
    <w:p>
      <w:pPr>
        <w:spacing w:after="280"/>
      </w:pPr>
    </w:p>
    <w:p>
      <w:pPr>
        <w:spacing w:before="360" w:after="120"/>
      </w:pPr>
      <w:r>
        <w:rPr>
          <w:rFonts w:ascii="Arial" w:hAnsi="Arial"/>
          <w:b/>
          <w:color w:val="0B2447"/>
          <w:sz w:val="30"/>
        </w:rPr>
        <w:t>4. Future AI Enhancements Roadmap (Post-MVP Scope)</w:t>
      </w:r>
    </w:p>
    <w:p>
      <w:pPr>
        <w:spacing w:after="120" w:line="276" w:lineRule="auto"/>
      </w:pPr>
      <w:r>
        <w:rPr>
          <w:rFonts w:ascii="Arial" w:hAnsi="Arial"/>
          <w:color w:val="1E293B"/>
          <w:sz w:val="20"/>
        </w:rPr>
        <w:t>To ensure a seamless initial launch and maintain absolute focus on core user adoption, additional advanced AI capabilities are documented for subsequent development releases:</w:t>
      </w:r>
    </w:p>
    <w:p>
      <w:pPr>
        <w:spacing w:after="60" w:line="276" w:lineRule="auto"/>
        <w:ind w:left="360"/>
      </w:pPr>
      <w:r>
        <w:rPr>
          <w:rFonts w:ascii="Arial" w:hAnsi="Arial"/>
          <w:color w:val="1E3A8A"/>
          <w:sz w:val="20"/>
        </w:rPr>
        <w:t xml:space="preserve">• </w:t>
      </w:r>
      <w:r>
        <w:rPr>
          <w:rFonts w:ascii="Arial" w:hAnsi="Arial"/>
          <w:b/>
          <w:color w:val="1E293B"/>
          <w:sz w:val="20"/>
        </w:rPr>
        <w:t xml:space="preserve">1. Academic Planning Assistant: </w:t>
      </w:r>
      <w:r>
        <w:rPr>
          <w:rFonts w:ascii="Arial" w:hAnsi="Arial"/>
          <w:color w:val="1E293B"/>
          <w:sz w:val="20"/>
        </w:rPr>
        <w:t>Automates weekly and daily timetable structuring based on batch progression rates and faculty availability.</w:t>
      </w:r>
    </w:p>
    <w:p>
      <w:pPr>
        <w:spacing w:after="60" w:line="276" w:lineRule="auto"/>
        <w:ind w:left="360"/>
      </w:pPr>
      <w:r>
        <w:rPr>
          <w:rFonts w:ascii="Arial" w:hAnsi="Arial"/>
          <w:color w:val="1E3A8A"/>
          <w:sz w:val="20"/>
        </w:rPr>
        <w:t xml:space="preserve">• </w:t>
      </w:r>
      <w:r>
        <w:rPr>
          <w:rFonts w:ascii="Arial" w:hAnsi="Arial"/>
          <w:b/>
          <w:color w:val="1E293B"/>
          <w:sz w:val="20"/>
        </w:rPr>
        <w:t xml:space="preserve">2. Exam &amp; Assessment Engine: </w:t>
      </w:r>
      <w:r>
        <w:rPr>
          <w:rFonts w:ascii="Arial" w:hAnsi="Arial"/>
          <w:color w:val="1E293B"/>
          <w:sz w:val="20"/>
        </w:rPr>
        <w:t>Generates comprehensive exam papers, randomized question sets, and automated grading rubric suggestions.</w:t>
      </w:r>
    </w:p>
    <w:p>
      <w:pPr>
        <w:spacing w:after="60" w:line="276" w:lineRule="auto"/>
        <w:ind w:left="360"/>
      </w:pPr>
      <w:r>
        <w:rPr>
          <w:rFonts w:ascii="Arial" w:hAnsi="Arial"/>
          <w:color w:val="1E3A8A"/>
          <w:sz w:val="20"/>
        </w:rPr>
        <w:t xml:space="preserve">• </w:t>
      </w:r>
      <w:r>
        <w:rPr>
          <w:rFonts w:ascii="Arial" w:hAnsi="Arial"/>
          <w:b/>
          <w:color w:val="1E293B"/>
          <w:sz w:val="20"/>
        </w:rPr>
        <w:t xml:space="preserve">3. Student Progress &amp; At-Risk Analytics: </w:t>
      </w:r>
      <w:r>
        <w:rPr>
          <w:rFonts w:ascii="Arial" w:hAnsi="Arial"/>
          <w:color w:val="1E293B"/>
          <w:sz w:val="20"/>
        </w:rPr>
        <w:t>Monitors engagement drop-offs and flags at-risk students for early academic intervention.</w:t>
      </w:r>
    </w:p>
    <w:p>
      <w:pPr>
        <w:spacing w:after="60" w:line="276" w:lineRule="auto"/>
        <w:ind w:left="360"/>
      </w:pPr>
      <w:r>
        <w:rPr>
          <w:rFonts w:ascii="Arial" w:hAnsi="Arial"/>
          <w:color w:val="1E3A8A"/>
          <w:sz w:val="20"/>
        </w:rPr>
        <w:t xml:space="preserve">• </w:t>
      </w:r>
      <w:r>
        <w:rPr>
          <w:rFonts w:ascii="Arial" w:hAnsi="Arial"/>
          <w:b/>
          <w:color w:val="1E293B"/>
          <w:sz w:val="20"/>
        </w:rPr>
        <w:t xml:space="preserve">4. Class Summary Generator: </w:t>
      </w:r>
      <w:r>
        <w:rPr>
          <w:rFonts w:ascii="Arial" w:hAnsi="Arial"/>
          <w:color w:val="1E293B"/>
          <w:sz w:val="20"/>
        </w:rPr>
        <w:t>Processes live lecture recordings or transcripts to generate key topic summaries and homework checklists.</w:t>
      </w:r>
    </w:p>
    <w:p>
      <w:pPr>
        <w:spacing w:after="60" w:line="276" w:lineRule="auto"/>
        <w:ind w:left="360"/>
      </w:pPr>
      <w:r>
        <w:rPr>
          <w:rFonts w:ascii="Arial" w:hAnsi="Arial"/>
          <w:color w:val="1E3A8A"/>
          <w:sz w:val="20"/>
        </w:rPr>
        <w:t xml:space="preserve">• </w:t>
      </w:r>
      <w:r>
        <w:rPr>
          <w:rFonts w:ascii="Arial" w:hAnsi="Arial"/>
          <w:b/>
          <w:color w:val="1E293B"/>
          <w:sz w:val="20"/>
        </w:rPr>
        <w:t xml:space="preserve">5. LMS Platform Support Bot: </w:t>
      </w:r>
      <w:r>
        <w:rPr>
          <w:rFonts w:ascii="Arial" w:hAnsi="Arial"/>
          <w:color w:val="1E293B"/>
          <w:sz w:val="20"/>
        </w:rPr>
        <w:t>Handles tier-1 technical support queries regarding platform navigation, assignment uploads, and password resets.</w:t>
      </w:r>
    </w:p>
    <w:p>
      <w:pPr>
        <w:spacing w:after="60" w:line="276" w:lineRule="auto"/>
        <w:ind w:left="360"/>
      </w:pPr>
      <w:r>
        <w:rPr>
          <w:rFonts w:ascii="Arial" w:hAnsi="Arial"/>
          <w:color w:val="1E3A8A"/>
          <w:sz w:val="20"/>
        </w:rPr>
        <w:t xml:space="preserve">• </w:t>
      </w:r>
      <w:r>
        <w:rPr>
          <w:rFonts w:ascii="Arial" w:hAnsi="Arial"/>
          <w:b/>
          <w:color w:val="1E293B"/>
          <w:sz w:val="20"/>
        </w:rPr>
        <w:t xml:space="preserve">6. Operational Management Analytics: </w:t>
      </w:r>
      <w:r>
        <w:rPr>
          <w:rFonts w:ascii="Arial" w:hAnsi="Arial"/>
          <w:color w:val="1E293B"/>
          <w:sz w:val="20"/>
        </w:rPr>
        <w:t>Delivers executive dashboard analytics regarding faculty productivity, content usage trends, and overall institutional efficiency.</w:t>
      </w:r>
    </w:p>
    <w:p>
      <w:pPr>
        <w:spacing w:after="240"/>
      </w:pPr>
    </w:p>
    <w:p>
      <w:pPr>
        <w:spacing w:before="360" w:after="120"/>
      </w:pPr>
      <w:r>
        <w:rPr>
          <w:rFonts w:ascii="Arial" w:hAnsi="Arial"/>
          <w:b/>
          <w:color w:val="0B2447"/>
          <w:sz w:val="30"/>
        </w:rPr>
        <w:t>5. Governance, Data Privacy &amp; Safety Architecture</w:t>
      </w:r>
    </w:p>
    <w:p>
      <w:pPr>
        <w:spacing w:after="60" w:line="276" w:lineRule="auto"/>
        <w:ind w:left="360"/>
      </w:pPr>
      <w:r>
        <w:rPr>
          <w:rFonts w:ascii="Arial" w:hAnsi="Arial"/>
          <w:color w:val="1E3A8A"/>
          <w:sz w:val="20"/>
        </w:rPr>
        <w:t xml:space="preserve">• </w:t>
      </w:r>
      <w:r>
        <w:rPr>
          <w:rFonts w:ascii="Arial" w:hAnsi="Arial"/>
          <w:b/>
          <w:color w:val="1E293B"/>
          <w:sz w:val="20"/>
        </w:rPr>
        <w:t xml:space="preserve">Data Security: </w:t>
      </w:r>
      <w:r>
        <w:rPr>
          <w:rFonts w:ascii="Arial" w:hAnsi="Arial"/>
          <w:color w:val="1E293B"/>
          <w:sz w:val="20"/>
        </w:rPr>
        <w:t>Strict Data Privacy Compliance: All student interactions are anonymized and processed in compliance with enterprise data security guidelines.</w:t>
      </w:r>
    </w:p>
    <w:p>
      <w:pPr>
        <w:spacing w:after="60" w:line="276" w:lineRule="auto"/>
        <w:ind w:left="360"/>
      </w:pPr>
      <w:r>
        <w:rPr>
          <w:rFonts w:ascii="Arial" w:hAnsi="Arial"/>
          <w:color w:val="1E3A8A"/>
          <w:sz w:val="20"/>
        </w:rPr>
        <w:t xml:space="preserve">• </w:t>
      </w:r>
      <w:r>
        <w:rPr>
          <w:rFonts w:ascii="Arial" w:hAnsi="Arial"/>
          <w:b/>
          <w:color w:val="1E293B"/>
          <w:sz w:val="20"/>
        </w:rPr>
        <w:t xml:space="preserve">Content Moderation: </w:t>
      </w:r>
      <w:r>
        <w:rPr>
          <w:rFonts w:ascii="Arial" w:hAnsi="Arial"/>
          <w:color w:val="1E293B"/>
          <w:sz w:val="20"/>
        </w:rPr>
        <w:t>Strict Academic Guardrails: AI prompts are bounded by domain-specific system rules to prevent off-topic discourse or inappropriate content generation.</w:t>
      </w:r>
    </w:p>
    <w:p>
      <w:pPr>
        <w:spacing w:after="60" w:line="276" w:lineRule="auto"/>
        <w:ind w:left="360"/>
      </w:pPr>
      <w:r>
        <w:rPr>
          <w:rFonts w:ascii="Arial" w:hAnsi="Arial"/>
          <w:color w:val="1E3A8A"/>
          <w:sz w:val="20"/>
        </w:rPr>
        <w:t xml:space="preserve">• </w:t>
      </w:r>
      <w:r>
        <w:rPr>
          <w:rFonts w:ascii="Arial" w:hAnsi="Arial"/>
          <w:b/>
          <w:color w:val="1E293B"/>
          <w:sz w:val="20"/>
        </w:rPr>
        <w:t xml:space="preserve">Quality Assurance: </w:t>
      </w:r>
      <w:r>
        <w:rPr>
          <w:rFonts w:ascii="Arial" w:hAnsi="Arial"/>
          <w:color w:val="1E293B"/>
          <w:sz w:val="20"/>
        </w:rPr>
        <w:t>Human-in-the-Loop Architecture: Critical academic outputs (such as exam creation and resource publishing) require explicit staff validation.</w:t>
      </w:r>
    </w:p>
    <w:p>
      <w:pPr>
        <w:spacing w:after="280"/>
      </w:pPr>
    </w:p>
    <w:tbl>
      <w:tblPr>
        <w:tblW w:type="auto" w:w="0"/>
        <w:jc w:val="center"/>
        <w:tblLook w:firstColumn="1" w:firstRow="1" w:lastColumn="0" w:lastRow="0" w:noHBand="0" w:noVBand="1" w:val="04A0"/>
      </w:tblPr>
      <w:tblGrid>
        <w:gridCol w:w="10080"/>
      </w:tblGrid>
      <w:tr>
        <w:tc>
          <w:tcPr>
            <w:tcW w:type="dxa" w:w="10080"/>
            <w:shd w:fill="F0FDF4"/>
            <w:tcBorders>
              <w:top w:val="single" w:sz="8" w:space="0" w:color="0F766E"/>
              <w:left w:val="single" w:sz="8" w:space="0" w:color="0F766E"/>
              <w:bottom w:val="single" w:sz="8" w:space="0" w:color="0F766E"/>
              <w:right w:val="single" w:sz="8" w:space="0" w:color="0F766E"/>
            </w:tcBorders>
            <w:tcMar>
              <w:top w:w="140" w:type="dxa"/>
              <w:bottom w:w="140" w:type="dxa"/>
              <w:left w:w="180" w:type="dxa"/>
              <w:right w:w="180" w:type="dxa"/>
            </w:tcMar>
          </w:tcPr>
          <w:p>
            <w:pPr>
              <w:jc w:val="center"/>
            </w:pPr>
            <w:r>
              <w:rPr>
                <w:rFonts w:ascii="Arial" w:hAnsi="Arial"/>
                <w:b/>
                <w:color w:val="0F766E"/>
                <w:sz w:val="22"/>
              </w:rPr>
              <w:t>EXECUTIVE SUMMARY STATEMENT</w:t>
              <w:br/>
            </w:r>
            <w:r>
              <w:rPr>
                <w:rFonts w:ascii="Arial" w:hAnsi="Arial"/>
                <w:b/>
                <w:color w:val="1E293B"/>
                <w:sz w:val="20"/>
              </w:rPr>
              <w:t>By focusing strictly on these 5 Core AI Assistants for MVP deployment, ISML LMS achieves maximum educational impact, retains full operational control, and provides measurable financial and academic return on investment.</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