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B2447"/>
            <w:tcMar>
              <w:top w:w="240" w:type="dxa"/>
              <w:bottom w:w="240" w:type="dxa"/>
              <w:left w:w="240" w:type="dxa"/>
              <w:right w:w="240" w:type="dxa"/>
            </w:tcMar>
          </w:tcPr>
          <w:p>
            <w:pPr>
              <w:jc w:val="center"/>
            </w:pPr>
            <w:r>
              <w:rPr>
                <w:rFonts w:ascii="Arial" w:hAnsi="Arial"/>
                <w:b/>
                <w:color w:val="FFFFFF"/>
                <w:sz w:val="44"/>
              </w:rPr>
              <w:t>ISML LMS – AI &amp; Intelligent Assistance</w:t>
            </w:r>
          </w:p>
          <w:p>
            <w:pPr>
              <w:jc w:val="center"/>
            </w:pPr>
            <w:r>
              <w:rPr>
                <w:rFonts w:ascii="Arial" w:hAnsi="Arial"/>
                <w:color w:val="BAE6FD"/>
                <w:sz w:val="24"/>
              </w:rPr>
              <w:t>Executive &amp; Managerial Feature Guide (Non-Technical Overview)</w:t>
            </w:r>
          </w:p>
        </w:tc>
      </w:tr>
    </w:tbl>
    <w:p>
      <w:pPr>
        <w:spacing w:after="200"/>
      </w:pPr>
    </w:p>
    <w:p>
      <w:pPr>
        <w:spacing w:before="280" w:after="120"/>
      </w:pPr>
      <w:r>
        <w:rPr>
          <w:rFonts w:ascii="Arial" w:hAnsi="Arial"/>
          <w:b/>
          <w:color w:val="0B2447"/>
          <w:sz w:val="32"/>
        </w:rPr>
        <w:t>1. Executive Summary &amp; Vision</w:t>
      </w:r>
    </w:p>
    <w:p>
      <w:pPr>
        <w:spacing w:after="120"/>
      </w:pPr>
      <w:r>
        <w:rPr>
          <w:rFonts w:ascii="Arial" w:hAnsi="Arial"/>
          <w:color w:val="1E293B"/>
          <w:sz w:val="21"/>
        </w:rPr>
        <w:t>ISML LMS integrates targeted Artificial Intelligence (AI) to transform learning outcomes for students while drastically reducing operational overhead for academic faculty and management. Rather than deploying overly complex or distracting AI tech, the MVP strategy focuses precisely on 5 high-impact AI Assistants that deliver immediate, measurable business and educational value.</w:t>
      </w:r>
    </w:p>
    <w:tbl>
      <w:tblPr>
        <w:tblW w:type="auto" w:w="0"/>
        <w:jc w:val="center"/>
        <w:tblLook w:firstColumn="1" w:firstRow="1" w:lastColumn="0" w:lastRow="0" w:noHBand="0" w:noVBand="1" w:val="04A0"/>
      </w:tblPr>
      <w:tblGrid>
        <w:gridCol w:w="10080"/>
      </w:tblGrid>
      <w:tr>
        <w:tc>
          <w:tcPr>
            <w:tcW w:type="dxa" w:w="10080"/>
            <w:shd w:fill="F0F9FF"/>
            <w:tcBorders>
              <w:top w:val="single" w:sz="8" w:space="0" w:color="0284C7"/>
              <w:left w:val="single" w:sz="8" w:space="0" w:color="0284C7"/>
              <w:bottom w:val="single" w:sz="8" w:space="0" w:color="0284C7"/>
              <w:right w:val="single" w:sz="8" w:space="0" w:color="0284C7"/>
            </w:tcBorders>
            <w:tcMar>
              <w:top w:w="140" w:type="dxa"/>
              <w:bottom w:w="140" w:type="dxa"/>
              <w:left w:w="180" w:type="dxa"/>
              <w:right w:w="180" w:type="dxa"/>
            </w:tcMar>
          </w:tcPr>
          <w:p>
            <w:pPr>
              <w:jc w:val="center"/>
            </w:pPr>
            <w:r>
              <w:rPr>
                <w:rFonts w:ascii="Arial" w:hAnsi="Arial"/>
                <w:b/>
                <w:color w:val="0B2447"/>
                <w:sz w:val="22"/>
              </w:rPr>
              <w:t>🎯 THE MVP FORMULA: 5 CORE AI ASSISTANTS</w:t>
              <w:br/>
              <w:t>(4 Student-Focused Assistants + 1 Academic Team Assistant)</w:t>
            </w:r>
          </w:p>
        </w:tc>
      </w:tr>
    </w:tbl>
    <w:p>
      <w:pPr>
        <w:spacing w:after="240"/>
      </w:pPr>
    </w:p>
    <w:p>
      <w:pPr>
        <w:spacing w:before="280" w:after="120"/>
      </w:pPr>
      <w:r>
        <w:rPr>
          <w:rFonts w:ascii="Arial" w:hAnsi="Arial"/>
          <w:b/>
          <w:color w:val="0B2447"/>
          <w:sz w:val="32"/>
        </w:rPr>
        <w:t>2. Detailed Non-Technical Guide to the 5 Core MVP AI Bots</w:t>
      </w:r>
    </w:p>
    <w:tbl>
      <w:tblPr>
        <w:tblW w:type="auto" w:w="0"/>
        <w:jc w:val="center"/>
        <w:tblLook w:firstColumn="1" w:firstRow="1" w:lastColumn="0" w:lastRow="0" w:noHBand="0" w:noVBand="1" w:val="04A0"/>
      </w:tblPr>
      <w:tblGrid>
        <w:gridCol w:w="10080"/>
      </w:tblGrid>
      <w:tr>
        <w:tc>
          <w:tcPr>
            <w:tcW w:type="dxa" w:w="10080"/>
            <w:shd w:fill="F8FAFC"/>
            <w:tcBorders>
              <w:top w:val="single" w:sz="4" w:space="0" w:color="CBD5E1"/>
              <w:left w:val="single" w:sz="4" w:space="0" w:color="CBD5E1"/>
              <w:bottom w:val="single" w:sz="4" w:space="0" w:color="CBD5E1"/>
              <w:right w:val="single" w:sz="4" w:space="0" w:color="CBD5E1"/>
            </w:tcBorders>
            <w:tcMar>
              <w:top w:w="140" w:type="dxa"/>
              <w:bottom w:w="140" w:type="dxa"/>
              <w:left w:w="160" w:type="dxa"/>
              <w:right w:w="160" w:type="dxa"/>
            </w:tcMar>
          </w:tcPr>
          <w:p>
            <w:r>
              <w:rPr>
                <w:rFonts w:ascii="Arial" w:hAnsi="Arial"/>
                <w:b/>
                <w:color w:val="0B2447"/>
                <w:sz w:val="26"/>
              </w:rPr>
              <w:t>BOT 01  |  💬 AI Doubt Assistant</w:t>
              <w:br/>
            </w:r>
            <w:r>
              <w:rPr>
                <w:rFonts w:ascii="Arial" w:hAnsi="Arial"/>
                <w:b/>
                <w:color w:val="0284C7"/>
                <w:sz w:val="19"/>
              </w:rPr>
              <w:t>Target User Group: Students (24/7 Learning Support)</w:t>
              <w:br/>
            </w:r>
          </w:p>
        </w:tc>
      </w:tr>
    </w:tbl>
    <w:p>
      <w:pPr>
        <w:spacing w:after="80"/>
      </w:pPr>
      <w:r>
        <w:rPr>
          <w:rFonts w:ascii="Arial" w:hAnsi="Arial"/>
          <w:b/>
          <w:color w:val="1E293B"/>
          <w:sz w:val="21"/>
        </w:rPr>
        <w:t xml:space="preserve">📌 What it is (Simple Explanation): </w:t>
      </w:r>
      <w:r>
        <w:rPr>
          <w:rFonts w:ascii="Arial" w:hAnsi="Arial"/>
          <w:color w:val="1E293B"/>
          <w:sz w:val="21"/>
        </w:rPr>
        <w:t>Acts like a friendly, 24/7 personal digital tutor available in the student's pocket. Whenever a student gets stuck on a difficult topic, grammar rule, or vocabulary word during self-study (even at midnight), they can ask this bot.</w:t>
      </w:r>
    </w:p>
    <w:p>
      <w:pPr>
        <w:spacing w:after="120"/>
      </w:pPr>
      <w:r>
        <w:rPr>
          <w:rFonts w:ascii="Arial" w:hAnsi="Arial"/>
          <w:b/>
          <w:color w:val="1E293B"/>
          <w:sz w:val="21"/>
        </w:rPr>
        <w:t xml:space="preserve">⚙️ How it Works in Practice: </w:t>
      </w:r>
      <w:r>
        <w:rPr>
          <w:rFonts w:ascii="Arial" w:hAnsi="Arial"/>
          <w:color w:val="1E293B"/>
          <w:sz w:val="21"/>
        </w:rPr>
        <w:t>The student types or pastes their query into the LMS chat. The bot breaks down the answer into simple, easy-to-understand language with real-world examples.</w:t>
      </w:r>
    </w:p>
    <w:p>
      <w:pPr>
        <w:spacing w:after="80"/>
      </w:pPr>
      <w:r>
        <w:rPr>
          <w:rFonts w:ascii="Arial" w:hAnsi="Arial"/>
          <w:b/>
          <w:color w:val="0B2447"/>
          <w:sz w:val="20"/>
        </w:rPr>
        <w:t>💼 Key Managerial &amp; ROI Benefits:</w:t>
      </w:r>
    </w:p>
    <w:p>
      <w:pPr>
        <w:spacing w:after="40"/>
      </w:pPr>
      <w:r>
        <w:rPr>
          <w:rFonts w:ascii="Arial" w:hAnsi="Arial"/>
          <w:color w:val="1E293B"/>
          <w:sz w:val="19"/>
        </w:rPr>
        <w:t xml:space="preserve">  • Zero wait time for students — doubts are resolved instantly when motivation is highest.</w:t>
      </w:r>
    </w:p>
    <w:p>
      <w:pPr>
        <w:spacing w:after="40"/>
      </w:pPr>
      <w:r>
        <w:rPr>
          <w:rFonts w:ascii="Arial" w:hAnsi="Arial"/>
          <w:color w:val="1E293B"/>
          <w:sz w:val="19"/>
        </w:rPr>
        <w:t xml:space="preserve">  • Reduces repetitive basic question burden on teaching faculty by up to 60%.</w:t>
      </w:r>
    </w:p>
    <w:p>
      <w:pPr>
        <w:spacing w:after="40"/>
      </w:pPr>
      <w:r>
        <w:rPr>
          <w:rFonts w:ascii="Arial" w:hAnsi="Arial"/>
          <w:color w:val="1E293B"/>
          <w:sz w:val="19"/>
        </w:rPr>
        <w:t xml:space="preserve">  • Boosts course completion rates and overall student confidence.</w:t>
      </w:r>
    </w:p>
    <w:p>
      <w:pPr>
        <w:spacing w:after="160"/>
      </w:pPr>
    </w:p>
    <w:tbl>
      <w:tblPr>
        <w:tblW w:type="auto" w:w="0"/>
        <w:jc w:val="center"/>
        <w:tblLook w:firstColumn="1" w:firstRow="1" w:lastColumn="0" w:lastRow="0" w:noHBand="0" w:noVBand="1" w:val="04A0"/>
      </w:tblPr>
      <w:tblGrid>
        <w:gridCol w:w="10080"/>
      </w:tblGrid>
      <w:tr>
        <w:tc>
          <w:tcPr>
            <w:tcW w:type="dxa" w:w="10080"/>
            <w:shd w:fill="F8FAFC"/>
            <w:tcBorders>
              <w:top w:val="single" w:sz="4" w:space="0" w:color="CBD5E1"/>
              <w:left w:val="single" w:sz="4" w:space="0" w:color="CBD5E1"/>
              <w:bottom w:val="single" w:sz="4" w:space="0" w:color="CBD5E1"/>
              <w:right w:val="single" w:sz="4" w:space="0" w:color="CBD5E1"/>
            </w:tcBorders>
            <w:tcMar>
              <w:top w:w="140" w:type="dxa"/>
              <w:bottom w:w="140" w:type="dxa"/>
              <w:left w:w="160" w:type="dxa"/>
              <w:right w:w="160" w:type="dxa"/>
            </w:tcMar>
          </w:tcPr>
          <w:p>
            <w:r>
              <w:rPr>
                <w:rFonts w:ascii="Arial" w:hAnsi="Arial"/>
                <w:b/>
                <w:color w:val="0B2447"/>
                <w:sz w:val="26"/>
              </w:rPr>
              <w:t>BOT 02  |  🎙️ AI Speaking &amp; Pronunciation Assistant</w:t>
              <w:br/>
            </w:r>
            <w:r>
              <w:rPr>
                <w:rFonts w:ascii="Arial" w:hAnsi="Arial"/>
                <w:b/>
                <w:color w:val="0284C7"/>
                <w:sz w:val="19"/>
              </w:rPr>
              <w:t>Target User Group: Students (Language &amp; Communication Practice)</w:t>
              <w:br/>
            </w:r>
          </w:p>
        </w:tc>
      </w:tr>
    </w:tbl>
    <w:p>
      <w:pPr>
        <w:spacing w:after="80"/>
      </w:pPr>
      <w:r>
        <w:rPr>
          <w:rFonts w:ascii="Arial" w:hAnsi="Arial"/>
          <w:b/>
          <w:color w:val="1E293B"/>
          <w:sz w:val="21"/>
        </w:rPr>
        <w:t xml:space="preserve">📌 What it is (Simple Explanation): </w:t>
      </w:r>
      <w:r>
        <w:rPr>
          <w:rFonts w:ascii="Arial" w:hAnsi="Arial"/>
          <w:color w:val="1E293B"/>
          <w:sz w:val="21"/>
        </w:rPr>
        <w:t>A patient, non-judgmental speaking coach that allows students to practice reading and speaking out loud without the fear or shyness of making mistakes in front of classmates.</w:t>
      </w:r>
    </w:p>
    <w:p>
      <w:pPr>
        <w:spacing w:after="120"/>
      </w:pPr>
      <w:r>
        <w:rPr>
          <w:rFonts w:ascii="Arial" w:hAnsi="Arial"/>
          <w:b/>
          <w:color w:val="1E293B"/>
          <w:sz w:val="21"/>
        </w:rPr>
        <w:t xml:space="preserve">⚙️ How it Works in Practice: </w:t>
      </w:r>
      <w:r>
        <w:rPr>
          <w:rFonts w:ascii="Arial" w:hAnsi="Arial"/>
          <w:color w:val="1E293B"/>
          <w:sz w:val="21"/>
        </w:rPr>
        <w:t>Students speak into their device microphone. The bot listens, analyzes their pronunciation, speed, and grammar, and gives constructive feedback on how to improve.</w:t>
      </w:r>
    </w:p>
    <w:p>
      <w:pPr>
        <w:spacing w:after="80"/>
      </w:pPr>
      <w:r>
        <w:rPr>
          <w:rFonts w:ascii="Arial" w:hAnsi="Arial"/>
          <w:b/>
          <w:color w:val="0B2447"/>
          <w:sz w:val="20"/>
        </w:rPr>
        <w:t>💼 Key Managerial &amp; ROI Benefits:</w:t>
      </w:r>
    </w:p>
    <w:p>
      <w:pPr>
        <w:spacing w:after="40"/>
      </w:pPr>
      <w:r>
        <w:rPr>
          <w:rFonts w:ascii="Arial" w:hAnsi="Arial"/>
          <w:color w:val="1E293B"/>
          <w:sz w:val="19"/>
        </w:rPr>
        <w:t xml:space="preserve">  • Overcomes student hesitation and anxiety around oral communication.</w:t>
      </w:r>
    </w:p>
    <w:p>
      <w:pPr>
        <w:spacing w:after="40"/>
      </w:pPr>
      <w:r>
        <w:rPr>
          <w:rFonts w:ascii="Arial" w:hAnsi="Arial"/>
          <w:color w:val="1E293B"/>
          <w:sz w:val="19"/>
        </w:rPr>
        <w:t xml:space="preserve">  • Scales language speaking practice to thousands of students simultaneously without needing thousands of human trainers.</w:t>
      </w:r>
    </w:p>
    <w:p>
      <w:pPr>
        <w:spacing w:after="40"/>
      </w:pPr>
      <w:r>
        <w:rPr>
          <w:rFonts w:ascii="Arial" w:hAnsi="Arial"/>
          <w:color w:val="1E293B"/>
          <w:sz w:val="19"/>
        </w:rPr>
        <w:t xml:space="preserve">  • Provides measurable progress metrics on communication fluency.</w:t>
      </w:r>
    </w:p>
    <w:p>
      <w:pPr>
        <w:spacing w:after="160"/>
      </w:pPr>
    </w:p>
    <w:tbl>
      <w:tblPr>
        <w:tblW w:type="auto" w:w="0"/>
        <w:jc w:val="center"/>
        <w:tblLook w:firstColumn="1" w:firstRow="1" w:lastColumn="0" w:lastRow="0" w:noHBand="0" w:noVBand="1" w:val="04A0"/>
      </w:tblPr>
      <w:tblGrid>
        <w:gridCol w:w="10080"/>
      </w:tblGrid>
      <w:tr>
        <w:tc>
          <w:tcPr>
            <w:tcW w:type="dxa" w:w="10080"/>
            <w:shd w:fill="F8FAFC"/>
            <w:tcBorders>
              <w:top w:val="single" w:sz="4" w:space="0" w:color="CBD5E1"/>
              <w:left w:val="single" w:sz="4" w:space="0" w:color="CBD5E1"/>
              <w:bottom w:val="single" w:sz="4" w:space="0" w:color="CBD5E1"/>
              <w:right w:val="single" w:sz="4" w:space="0" w:color="CBD5E1"/>
            </w:tcBorders>
            <w:tcMar>
              <w:top w:w="140" w:type="dxa"/>
              <w:bottom w:w="140" w:type="dxa"/>
              <w:left w:w="160" w:type="dxa"/>
              <w:right w:w="160" w:type="dxa"/>
            </w:tcMar>
          </w:tcPr>
          <w:p>
            <w:r>
              <w:rPr>
                <w:rFonts w:ascii="Arial" w:hAnsi="Arial"/>
                <w:b/>
                <w:color w:val="0B2447"/>
                <w:sz w:val="26"/>
              </w:rPr>
              <w:t>BOT 03  |  🚀 AI Career Guidance Assistant</w:t>
              <w:br/>
            </w:r>
            <w:r>
              <w:rPr>
                <w:rFonts w:ascii="Arial" w:hAnsi="Arial"/>
                <w:b/>
                <w:color w:val="0284C7"/>
                <w:sz w:val="19"/>
              </w:rPr>
              <w:t>Target User Group: Students (Career &amp; Skill Roadmapping)</w:t>
              <w:br/>
            </w:r>
          </w:p>
        </w:tc>
      </w:tr>
    </w:tbl>
    <w:p>
      <w:pPr>
        <w:spacing w:after="80"/>
      </w:pPr>
      <w:r>
        <w:rPr>
          <w:rFonts w:ascii="Arial" w:hAnsi="Arial"/>
          <w:b/>
          <w:color w:val="1E293B"/>
          <w:sz w:val="21"/>
        </w:rPr>
        <w:t xml:space="preserve">📌 What it is (Simple Explanation): </w:t>
      </w:r>
      <w:r>
        <w:rPr>
          <w:rFonts w:ascii="Arial" w:hAnsi="Arial"/>
          <w:color w:val="1E293B"/>
          <w:sz w:val="21"/>
        </w:rPr>
        <w:t>An intelligent career counselor that helps students understand where their learning is leading them, identifying career paths that match their interests and background.</w:t>
      </w:r>
    </w:p>
    <w:p>
      <w:pPr>
        <w:spacing w:after="120"/>
      </w:pPr>
      <w:r>
        <w:rPr>
          <w:rFonts w:ascii="Arial" w:hAnsi="Arial"/>
          <w:b/>
          <w:color w:val="1E293B"/>
          <w:sz w:val="21"/>
        </w:rPr>
        <w:t xml:space="preserve">⚙️ How it Works in Practice: </w:t>
      </w:r>
      <w:r>
        <w:rPr>
          <w:rFonts w:ascii="Arial" w:hAnsi="Arial"/>
          <w:color w:val="1E293B"/>
          <w:sz w:val="21"/>
        </w:rPr>
        <w:t>The bot asks students about their goals, evaluates their current skill level in the LMS, highlights skill gaps, and suggests actionable next steps (such as specific modules to complete or resume improvements).</w:t>
      </w:r>
    </w:p>
    <w:p>
      <w:pPr>
        <w:spacing w:after="80"/>
      </w:pPr>
      <w:r>
        <w:rPr>
          <w:rFonts w:ascii="Arial" w:hAnsi="Arial"/>
          <w:b/>
          <w:color w:val="0B2447"/>
          <w:sz w:val="20"/>
        </w:rPr>
        <w:t>💼 Key Managerial &amp; ROI Benefits:</w:t>
      </w:r>
    </w:p>
    <w:p>
      <w:pPr>
        <w:spacing w:after="40"/>
      </w:pPr>
      <w:r>
        <w:rPr>
          <w:rFonts w:ascii="Arial" w:hAnsi="Arial"/>
          <w:color w:val="1E293B"/>
          <w:sz w:val="19"/>
        </w:rPr>
        <w:t xml:space="preserve">  • Provides every enrolled student with personalized career direction.</w:t>
      </w:r>
    </w:p>
    <w:p>
      <w:pPr>
        <w:spacing w:after="40"/>
      </w:pPr>
      <w:r>
        <w:rPr>
          <w:rFonts w:ascii="Arial" w:hAnsi="Arial"/>
          <w:color w:val="1E293B"/>
          <w:sz w:val="19"/>
        </w:rPr>
        <w:t xml:space="preserve">  • Keeps students motivated by giving them a clear vision of their career destination.</w:t>
      </w:r>
    </w:p>
    <w:p>
      <w:pPr>
        <w:spacing w:after="40"/>
      </w:pPr>
      <w:r>
        <w:rPr>
          <w:rFonts w:ascii="Arial" w:hAnsi="Arial"/>
          <w:color w:val="1E293B"/>
          <w:sz w:val="19"/>
        </w:rPr>
        <w:t xml:space="preserve">  • Helps institutions align student outcomes with market expectations.</w:t>
      </w:r>
    </w:p>
    <w:p>
      <w:pPr>
        <w:spacing w:after="160"/>
      </w:pPr>
    </w:p>
    <w:tbl>
      <w:tblPr>
        <w:tblW w:type="auto" w:w="0"/>
        <w:jc w:val="center"/>
        <w:tblLook w:firstColumn="1" w:firstRow="1" w:lastColumn="0" w:lastRow="0" w:noHBand="0" w:noVBand="1" w:val="04A0"/>
      </w:tblPr>
      <w:tblGrid>
        <w:gridCol w:w="10080"/>
      </w:tblGrid>
      <w:tr>
        <w:tc>
          <w:tcPr>
            <w:tcW w:type="dxa" w:w="10080"/>
            <w:shd w:fill="F8FAFC"/>
            <w:tcBorders>
              <w:top w:val="single" w:sz="4" w:space="0" w:color="CBD5E1"/>
              <w:left w:val="single" w:sz="4" w:space="0" w:color="CBD5E1"/>
              <w:bottom w:val="single" w:sz="4" w:space="0" w:color="CBD5E1"/>
              <w:right w:val="single" w:sz="4" w:space="0" w:color="CBD5E1"/>
            </w:tcBorders>
            <w:tcMar>
              <w:top w:w="140" w:type="dxa"/>
              <w:bottom w:w="140" w:type="dxa"/>
              <w:left w:w="160" w:type="dxa"/>
              <w:right w:w="160" w:type="dxa"/>
            </w:tcMar>
          </w:tcPr>
          <w:p>
            <w:r>
              <w:rPr>
                <w:rFonts w:ascii="Arial" w:hAnsi="Arial"/>
                <w:b/>
                <w:color w:val="0B2447"/>
                <w:sz w:val="26"/>
              </w:rPr>
              <w:t>BOT 04  |  💼 AI Job Recommendation Assistant</w:t>
              <w:br/>
            </w:r>
            <w:r>
              <w:rPr>
                <w:rFonts w:ascii="Arial" w:hAnsi="Arial"/>
                <w:b/>
                <w:color w:val="0284C7"/>
                <w:sz w:val="19"/>
              </w:rPr>
              <w:t>Target User Group: Students (Employability &amp; Placement Support)</w:t>
              <w:br/>
            </w:r>
          </w:p>
        </w:tc>
      </w:tr>
    </w:tbl>
    <w:p>
      <w:pPr>
        <w:spacing w:after="80"/>
      </w:pPr>
      <w:r>
        <w:rPr>
          <w:rFonts w:ascii="Arial" w:hAnsi="Arial"/>
          <w:b/>
          <w:color w:val="1E293B"/>
          <w:sz w:val="21"/>
        </w:rPr>
        <w:t xml:space="preserve">📌 What it is (Simple Explanation): </w:t>
      </w:r>
      <w:r>
        <w:rPr>
          <w:rFonts w:ascii="Arial" w:hAnsi="Arial"/>
          <w:color w:val="1E293B"/>
          <w:sz w:val="21"/>
        </w:rPr>
        <w:t>A smart job matcher that connects student profiles and competencies with real-world job roles and placement opportunities.</w:t>
      </w:r>
    </w:p>
    <w:p>
      <w:pPr>
        <w:spacing w:after="120"/>
      </w:pPr>
      <w:r>
        <w:rPr>
          <w:rFonts w:ascii="Arial" w:hAnsi="Arial"/>
          <w:b/>
          <w:color w:val="1E293B"/>
          <w:sz w:val="21"/>
        </w:rPr>
        <w:t xml:space="preserve">⚙️ How it Works in Practice: </w:t>
      </w:r>
      <w:r>
        <w:rPr>
          <w:rFonts w:ascii="Arial" w:hAnsi="Arial"/>
          <w:color w:val="1E293B"/>
          <w:sz w:val="21"/>
        </w:rPr>
        <w:t>The bot analyzes the student's completed competencies, strengths, and profile details to recommend relevant job titles, entry-level opportunities, and preparation guidance.</w:t>
      </w:r>
    </w:p>
    <w:p>
      <w:pPr>
        <w:spacing w:after="80"/>
      </w:pPr>
      <w:r>
        <w:rPr>
          <w:rFonts w:ascii="Arial" w:hAnsi="Arial"/>
          <w:b/>
          <w:color w:val="0B2447"/>
          <w:sz w:val="20"/>
        </w:rPr>
        <w:t>💼 Key Managerial &amp; ROI Benefits:</w:t>
      </w:r>
    </w:p>
    <w:p>
      <w:pPr>
        <w:spacing w:after="40"/>
      </w:pPr>
      <w:r>
        <w:rPr>
          <w:rFonts w:ascii="Arial" w:hAnsi="Arial"/>
          <w:color w:val="1E293B"/>
          <w:sz w:val="19"/>
        </w:rPr>
        <w:t xml:space="preserve">  • Improves student employability and institutional placement statistics.</w:t>
      </w:r>
    </w:p>
    <w:p>
      <w:pPr>
        <w:spacing w:after="40"/>
      </w:pPr>
      <w:r>
        <w:rPr>
          <w:rFonts w:ascii="Arial" w:hAnsi="Arial"/>
          <w:color w:val="1E293B"/>
          <w:sz w:val="19"/>
        </w:rPr>
        <w:t xml:space="preserve">  • Gives placement managers actionable insights into job-ready candidate pools.</w:t>
      </w:r>
    </w:p>
    <w:p>
      <w:pPr>
        <w:spacing w:after="40"/>
      </w:pPr>
      <w:r>
        <w:rPr>
          <w:rFonts w:ascii="Arial" w:hAnsi="Arial"/>
          <w:color w:val="1E293B"/>
          <w:sz w:val="19"/>
        </w:rPr>
        <w:t xml:space="preserve">  • Directly connects educational efforts to tangible career employment.</w:t>
      </w:r>
    </w:p>
    <w:p>
      <w:pPr>
        <w:spacing w:after="160"/>
      </w:pPr>
    </w:p>
    <w:tbl>
      <w:tblPr>
        <w:tblW w:type="auto" w:w="0"/>
        <w:jc w:val="center"/>
        <w:tblLook w:firstColumn="1" w:firstRow="1" w:lastColumn="0" w:lastRow="0" w:noHBand="0" w:noVBand="1" w:val="04A0"/>
      </w:tblPr>
      <w:tblGrid>
        <w:gridCol w:w="10080"/>
      </w:tblGrid>
      <w:tr>
        <w:tc>
          <w:tcPr>
            <w:tcW w:type="dxa" w:w="10080"/>
            <w:shd w:fill="F8FAFC"/>
            <w:tcBorders>
              <w:top w:val="single" w:sz="8" w:space="0" w:color="0284C7"/>
              <w:left w:val="single" w:sz="8" w:space="0" w:color="0284C7"/>
              <w:bottom w:val="single" w:sz="8" w:space="0" w:color="0284C7"/>
              <w:right w:val="single" w:sz="8" w:space="0" w:color="0284C7"/>
            </w:tcBorders>
            <w:tcMar>
              <w:top w:w="140" w:type="dxa"/>
              <w:bottom w:w="140" w:type="dxa"/>
              <w:left w:w="160" w:type="dxa"/>
              <w:right w:w="160" w:type="dxa"/>
            </w:tcMar>
          </w:tcPr>
          <w:p>
            <w:r>
              <w:rPr>
                <w:rFonts w:ascii="Arial" w:hAnsi="Arial"/>
                <w:b/>
                <w:color w:val="0B2447"/>
                <w:sz w:val="26"/>
              </w:rPr>
              <w:t>BOT 05  |  📚 AI Resource Assistant</w:t>
              <w:br/>
            </w:r>
            <w:r>
              <w:rPr>
                <w:rFonts w:ascii="Arial" w:hAnsi="Arial"/>
                <w:b/>
                <w:color w:val="0284C7"/>
                <w:sz w:val="19"/>
              </w:rPr>
              <w:t>Target User Group: Academic Team &amp; Faculty (Content &amp; Lesson Preparation)</w:t>
              <w:br/>
            </w:r>
          </w:p>
        </w:tc>
      </w:tr>
    </w:tbl>
    <w:p>
      <w:pPr>
        <w:spacing w:after="80"/>
      </w:pPr>
      <w:r>
        <w:rPr>
          <w:rFonts w:ascii="Arial" w:hAnsi="Arial"/>
          <w:b/>
          <w:color w:val="1E293B"/>
          <w:sz w:val="21"/>
        </w:rPr>
        <w:t xml:space="preserve">📌 What it is (Simple Explanation): </w:t>
      </w:r>
      <w:r>
        <w:rPr>
          <w:rFonts w:ascii="Arial" w:hAnsi="Arial"/>
          <w:color w:val="1E293B"/>
          <w:sz w:val="21"/>
        </w:rPr>
        <w:t>A powerful academic co-pilot designed specifically for teachers and content creators. It helps faculty quickly generate high-quality teaching resources, exercises, and lesson aids.</w:t>
      </w:r>
    </w:p>
    <w:p>
      <w:pPr>
        <w:spacing w:after="120"/>
      </w:pPr>
      <w:r>
        <w:rPr>
          <w:rFonts w:ascii="Arial" w:hAnsi="Arial"/>
          <w:b/>
          <w:color w:val="1E293B"/>
          <w:sz w:val="21"/>
        </w:rPr>
        <w:t xml:space="preserve">⚙️ How it Works in Practice: </w:t>
      </w:r>
      <w:r>
        <w:rPr>
          <w:rFonts w:ascii="Arial" w:hAnsi="Arial"/>
          <w:color w:val="1E293B"/>
          <w:sz w:val="21"/>
        </w:rPr>
        <w:t>A teacher prompts the bot with a topic (e.g., 'Generate 5 intermediate reading passages with vocabulary quizzes for Business Communication'). The bot instantly drafts formatted materials, PPT outline ideas, and practice activities tailored to different skill levels.</w:t>
      </w:r>
    </w:p>
    <w:p>
      <w:pPr>
        <w:spacing w:after="80"/>
      </w:pPr>
      <w:r>
        <w:rPr>
          <w:rFonts w:ascii="Arial" w:hAnsi="Arial"/>
          <w:b/>
          <w:color w:val="0B2447"/>
          <w:sz w:val="20"/>
        </w:rPr>
        <w:t>💼 Key Managerial &amp; ROI Benefits:</w:t>
      </w:r>
    </w:p>
    <w:p>
      <w:pPr>
        <w:spacing w:after="40"/>
      </w:pPr>
      <w:r>
        <w:rPr>
          <w:rFonts w:ascii="Arial" w:hAnsi="Arial"/>
          <w:color w:val="1E293B"/>
          <w:sz w:val="19"/>
        </w:rPr>
        <w:t xml:space="preserve">  • Cuts teacher lesson prep time by 50% to 70%, freeing faculty to focus on direct student mentoring.</w:t>
      </w:r>
    </w:p>
    <w:p>
      <w:pPr>
        <w:spacing w:after="40"/>
      </w:pPr>
      <w:r>
        <w:rPr>
          <w:rFonts w:ascii="Arial" w:hAnsi="Arial"/>
          <w:color w:val="1E293B"/>
          <w:sz w:val="19"/>
        </w:rPr>
        <w:t xml:space="preserve">  • Standardizes high academic content quality across all branches and trainers.</w:t>
      </w:r>
    </w:p>
    <w:p>
      <w:pPr>
        <w:spacing w:after="40"/>
      </w:pPr>
      <w:r>
        <w:rPr>
          <w:rFonts w:ascii="Arial" w:hAnsi="Arial"/>
          <w:color w:val="1E293B"/>
          <w:sz w:val="19"/>
        </w:rPr>
        <w:t xml:space="preserve">  • Enables rapid creation of customized supplementary materials for diverse student learning speeds.</w:t>
      </w:r>
    </w:p>
    <w:p>
      <w:pPr>
        <w:spacing w:after="160"/>
      </w:pPr>
    </w:p>
    <w:p>
      <w:pPr>
        <w:spacing w:before="280" w:after="120"/>
      </w:pPr>
      <w:r>
        <w:rPr>
          <w:rFonts w:ascii="Arial" w:hAnsi="Arial"/>
          <w:b/>
          <w:color w:val="0B2447"/>
          <w:sz w:val="32"/>
        </w:rPr>
        <w:t>3. Executive ROI &amp; Value Matrix for Management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0B2447"/>
            <w:tcMar>
              <w:top w:w="100" w:type="dxa"/>
              <w:bottom w:w="100" w:type="dxa"/>
              <w:left w:w="100" w:type="dxa"/>
              <w:right w:w="100" w:type="dxa"/>
            </w:tcMar>
          </w:tcPr>
          <w:p>
            <w:r>
              <w:rPr>
                <w:rFonts w:ascii="Arial" w:hAnsi="Arial"/>
                <w:b/>
                <w:color w:val="FFFFFF"/>
                <w:sz w:val="19"/>
              </w:rPr>
              <w:t>Bot Name</w:t>
            </w:r>
          </w:p>
        </w:tc>
        <w:tc>
          <w:tcPr>
            <w:tcW w:type="dxa" w:w="1728"/>
            <w:shd w:fill="0B2447"/>
            <w:tcMar>
              <w:top w:w="100" w:type="dxa"/>
              <w:bottom w:w="100" w:type="dxa"/>
              <w:left w:w="100" w:type="dxa"/>
              <w:right w:w="100" w:type="dxa"/>
            </w:tcMar>
          </w:tcPr>
          <w:p>
            <w:r>
              <w:rPr>
                <w:rFonts w:ascii="Arial" w:hAnsi="Arial"/>
                <w:b/>
                <w:color w:val="FFFFFF"/>
                <w:sz w:val="19"/>
              </w:rPr>
              <w:t>Target Group</w:t>
            </w:r>
          </w:p>
        </w:tc>
        <w:tc>
          <w:tcPr>
            <w:tcW w:type="dxa" w:w="3312"/>
            <w:shd w:fill="0B2447"/>
            <w:tcMar>
              <w:top w:w="100" w:type="dxa"/>
              <w:bottom w:w="100" w:type="dxa"/>
              <w:left w:w="100" w:type="dxa"/>
              <w:right w:w="100" w:type="dxa"/>
            </w:tcMar>
          </w:tcPr>
          <w:p>
            <w:r>
              <w:rPr>
                <w:rFonts w:ascii="Arial" w:hAnsi="Arial"/>
                <w:b/>
                <w:color w:val="FFFFFF"/>
                <w:sz w:val="19"/>
              </w:rPr>
              <w:t>Primary Operational Function</w:t>
            </w:r>
          </w:p>
        </w:tc>
        <w:tc>
          <w:tcPr>
            <w:tcW w:type="dxa" w:w="2880"/>
            <w:shd w:fill="0B2447"/>
            <w:tcMar>
              <w:top w:w="100" w:type="dxa"/>
              <w:bottom w:w="100" w:type="dxa"/>
              <w:left w:w="100" w:type="dxa"/>
              <w:right w:w="100" w:type="dxa"/>
            </w:tcMar>
          </w:tcPr>
          <w:p>
            <w:r>
              <w:rPr>
                <w:rFonts w:ascii="Arial" w:hAnsi="Arial"/>
                <w:b/>
                <w:color w:val="FFFFFF"/>
                <w:sz w:val="19"/>
              </w:rPr>
              <w:t>Managerial ROI Metric</w:t>
            </w:r>
          </w:p>
        </w:tc>
      </w:tr>
      <w:tr>
        <w:tc>
          <w:tcPr>
            <w:tcW w:type="dxa" w:w="2160"/>
            <w:shd w:fill="F0F9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b/>
                <w:color w:val="0B2447"/>
                <w:sz w:val="17"/>
              </w:rPr>
              <w:t>01. AI Doubt Assistant</w:t>
            </w:r>
          </w:p>
        </w:tc>
        <w:tc>
          <w:tcPr>
            <w:tcW w:type="dxa" w:w="1728"/>
            <w:shd w:fill="F0F9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Students</w:t>
            </w:r>
          </w:p>
        </w:tc>
        <w:tc>
          <w:tcPr>
            <w:tcW w:type="dxa" w:w="3312"/>
            <w:shd w:fill="F0F9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24/7 instant course doubt resolution</w:t>
            </w:r>
          </w:p>
        </w:tc>
        <w:tc>
          <w:tcPr>
            <w:tcW w:type="dxa" w:w="2880"/>
            <w:shd w:fill="F0F9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90%+ Reduction in doubt wait time</w:t>
            </w:r>
          </w:p>
        </w:tc>
      </w:tr>
      <w:tr>
        <w:tc>
          <w:tcPr>
            <w:tcW w:type="dxa" w:w="216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b/>
                <w:color w:val="0B2447"/>
                <w:sz w:val="17"/>
              </w:rPr>
              <w:t>02. Speaking Assistant</w:t>
            </w:r>
          </w:p>
        </w:tc>
        <w:tc>
          <w:tcPr>
            <w:tcW w:type="dxa" w:w="1728"/>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Students</w:t>
            </w:r>
          </w:p>
        </w:tc>
        <w:tc>
          <w:tcPr>
            <w:tcW w:type="dxa" w:w="331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Interactive audio feedback &amp; practice</w:t>
            </w:r>
          </w:p>
        </w:tc>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3x Increase in student speaking hours</w:t>
            </w:r>
          </w:p>
        </w:tc>
      </w:tr>
      <w:tr>
        <w:tc>
          <w:tcPr>
            <w:tcW w:type="dxa" w:w="2160"/>
            <w:shd w:fill="F0F9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b/>
                <w:color w:val="0B2447"/>
                <w:sz w:val="17"/>
              </w:rPr>
              <w:t>03. Career Guidance Bot</w:t>
            </w:r>
          </w:p>
        </w:tc>
        <w:tc>
          <w:tcPr>
            <w:tcW w:type="dxa" w:w="1728"/>
            <w:shd w:fill="F0F9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Students</w:t>
            </w:r>
          </w:p>
        </w:tc>
        <w:tc>
          <w:tcPr>
            <w:tcW w:type="dxa" w:w="3312"/>
            <w:shd w:fill="F0F9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Personalized skill gap &amp; career mapping</w:t>
            </w:r>
          </w:p>
        </w:tc>
        <w:tc>
          <w:tcPr>
            <w:tcW w:type="dxa" w:w="2880"/>
            <w:shd w:fill="F0F9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Higher student engagement &amp; clarity</w:t>
            </w:r>
          </w:p>
        </w:tc>
      </w:tr>
      <w:tr>
        <w:tc>
          <w:tcPr>
            <w:tcW w:type="dxa" w:w="216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b/>
                <w:color w:val="0B2447"/>
                <w:sz w:val="17"/>
              </w:rPr>
              <w:t>04. Job Recommendation</w:t>
            </w:r>
          </w:p>
        </w:tc>
        <w:tc>
          <w:tcPr>
            <w:tcW w:type="dxa" w:w="1728"/>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Students</w:t>
            </w:r>
          </w:p>
        </w:tc>
        <w:tc>
          <w:tcPr>
            <w:tcW w:type="dxa" w:w="331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Competency-based job role matching</w:t>
            </w:r>
          </w:p>
        </w:tc>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Improved institutional placement %</w:t>
            </w:r>
          </w:p>
        </w:tc>
      </w:tr>
      <w:tr>
        <w:tc>
          <w:tcPr>
            <w:tcW w:type="dxa" w:w="2160"/>
            <w:shd w:fill="F0F9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b/>
                <w:color w:val="0B2447"/>
                <w:sz w:val="17"/>
              </w:rPr>
              <w:t>05. AI Resource Assistant</w:t>
            </w:r>
          </w:p>
        </w:tc>
        <w:tc>
          <w:tcPr>
            <w:tcW w:type="dxa" w:w="1728"/>
            <w:shd w:fill="F0F9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Academic Team</w:t>
            </w:r>
          </w:p>
        </w:tc>
        <w:tc>
          <w:tcPr>
            <w:tcW w:type="dxa" w:w="3312"/>
            <w:shd w:fill="F0F9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Automated lesson &amp; practice prep</w:t>
            </w:r>
          </w:p>
        </w:tc>
        <w:tc>
          <w:tcPr>
            <w:tcW w:type="dxa" w:w="2880"/>
            <w:shd w:fill="F0F9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Arial" w:hAnsi="Arial"/>
                <w:color w:val="1E293B"/>
                <w:sz w:val="17"/>
              </w:rPr>
              <w:t>50-70% Saved faculty prep hours</w:t>
            </w:r>
          </w:p>
        </w:tc>
      </w:tr>
    </w:tbl>
    <w:p>
      <w:pPr>
        <w:spacing w:after="280"/>
      </w:pPr>
    </w:p>
    <w:p>
      <w:pPr>
        <w:spacing w:before="280" w:after="120"/>
      </w:pPr>
      <w:r>
        <w:rPr>
          <w:rFonts w:ascii="Arial" w:hAnsi="Arial"/>
          <w:b/>
          <w:color w:val="0B2447"/>
          <w:sz w:val="32"/>
        </w:rPr>
        <w:t>4. Future AI Enhancements (Roadmap Preview)</w:t>
      </w:r>
    </w:p>
    <w:p>
      <w:pPr>
        <w:spacing w:after="120"/>
      </w:pPr>
      <w:r>
        <w:rPr>
          <w:rFonts w:ascii="Arial" w:hAnsi="Arial"/>
          <w:color w:val="1E293B"/>
          <w:sz w:val="21"/>
        </w:rPr>
        <w:t>To maintain simplicity for launch, the following capabilities are designated for post-MVP expansion:</w:t>
      </w:r>
    </w:p>
    <w:p>
      <w:pPr>
        <w:spacing w:after="80"/>
      </w:pPr>
      <w:r>
        <w:rPr>
          <w:rFonts w:ascii="Arial" w:hAnsi="Arial"/>
          <w:b/>
          <w:color w:val="1E293B"/>
          <w:sz w:val="21"/>
        </w:rPr>
        <w:t xml:space="preserve">1. Academic Planning Assistant: </w:t>
      </w:r>
      <w:r>
        <w:rPr>
          <w:rFonts w:ascii="Arial" w:hAnsi="Arial"/>
          <w:color w:val="1E293B"/>
          <w:sz w:val="21"/>
        </w:rPr>
        <w:t>Automatically drafts weekly and daily lesson schedules based on batch progress.</w:t>
      </w:r>
    </w:p>
    <w:p>
      <w:pPr>
        <w:spacing w:after="80"/>
      </w:pPr>
      <w:r>
        <w:rPr>
          <w:rFonts w:ascii="Arial" w:hAnsi="Arial"/>
          <w:b/>
          <w:color w:val="1E293B"/>
          <w:sz w:val="21"/>
        </w:rPr>
        <w:t xml:space="preserve">2. Exam &amp; Assessment Preparation: </w:t>
      </w:r>
      <w:r>
        <w:rPr>
          <w:rFonts w:ascii="Arial" w:hAnsi="Arial"/>
          <w:color w:val="1E293B"/>
          <w:sz w:val="21"/>
        </w:rPr>
        <w:t>Generates question banks, practice quizzes, and automated rubric assessments.</w:t>
      </w:r>
    </w:p>
    <w:p>
      <w:pPr>
        <w:spacing w:after="80"/>
      </w:pPr>
      <w:r>
        <w:rPr>
          <w:rFonts w:ascii="Arial" w:hAnsi="Arial"/>
          <w:b/>
          <w:color w:val="1E293B"/>
          <w:sz w:val="21"/>
        </w:rPr>
        <w:t xml:space="preserve">3. Student Progress &amp; At-Risk Alerts: </w:t>
      </w:r>
      <w:r>
        <w:rPr>
          <w:rFonts w:ascii="Arial" w:hAnsi="Arial"/>
          <w:color w:val="1E293B"/>
          <w:sz w:val="21"/>
        </w:rPr>
        <w:t>Identifies disengaged or lagging students early for timely academic intervention.</w:t>
      </w:r>
    </w:p>
    <w:p>
      <w:pPr>
        <w:spacing w:after="80"/>
      </w:pPr>
      <w:r>
        <w:rPr>
          <w:rFonts w:ascii="Arial" w:hAnsi="Arial"/>
          <w:b/>
          <w:color w:val="1E293B"/>
          <w:sz w:val="21"/>
        </w:rPr>
        <w:t xml:space="preserve">4. Automated Class Summaries: </w:t>
      </w:r>
      <w:r>
        <w:rPr>
          <w:rFonts w:ascii="Arial" w:hAnsi="Arial"/>
          <w:color w:val="1E293B"/>
          <w:sz w:val="21"/>
        </w:rPr>
        <w:t>Summarizes key learning points, vocabulary covered, and homework after every live session.</w:t>
      </w:r>
    </w:p>
    <w:p>
      <w:pPr>
        <w:spacing w:after="80"/>
      </w:pPr>
      <w:r>
        <w:rPr>
          <w:rFonts w:ascii="Arial" w:hAnsi="Arial"/>
          <w:b/>
          <w:color w:val="1E293B"/>
          <w:sz w:val="21"/>
        </w:rPr>
        <w:t xml:space="preserve">5. LMS Student Support Desk: </w:t>
      </w:r>
      <w:r>
        <w:rPr>
          <w:rFonts w:ascii="Arial" w:hAnsi="Arial"/>
          <w:color w:val="1E293B"/>
          <w:sz w:val="21"/>
        </w:rPr>
        <w:t>Answers routine technical and operational questions regarding LMS navigation.</w:t>
      </w:r>
    </w:p>
    <w:p>
      <w:pPr>
        <w:spacing w:after="80"/>
      </w:pPr>
      <w:r>
        <w:rPr>
          <w:rFonts w:ascii="Arial" w:hAnsi="Arial"/>
          <w:b/>
          <w:color w:val="1E293B"/>
          <w:sz w:val="21"/>
        </w:rPr>
        <w:t xml:space="preserve">6. Management Analytics Assistant: </w:t>
      </w:r>
      <w:r>
        <w:rPr>
          <w:rFonts w:ascii="Arial" w:hAnsi="Arial"/>
          <w:color w:val="1E293B"/>
          <w:sz w:val="21"/>
        </w:rPr>
        <w:t>Provides executive dashboards with operational insights, attendance trends, and faculty productivity.</w:t>
      </w:r>
    </w:p>
    <w:p>
      <w:pPr>
        <w:spacing w:after="240"/>
      </w:pPr>
    </w:p>
    <w:tbl>
      <w:tblPr>
        <w:tblW w:type="auto" w:w="0"/>
        <w:jc w:val="center"/>
        <w:tblLook w:firstColumn="1" w:firstRow="1" w:lastColumn="0" w:lastRow="0" w:noHBand="0" w:noVBand="1" w:val="04A0"/>
      </w:tblPr>
      <w:tblGrid>
        <w:gridCol w:w="10080"/>
      </w:tblGrid>
      <w:tr>
        <w:tc>
          <w:tcPr>
            <w:tcW w:type="dxa" w:w="10080"/>
            <w:shd w:fill="ECFDF5"/>
            <w:tcBorders>
              <w:top w:val="single" w:sz="8" w:space="0" w:color="10B981"/>
              <w:left w:val="single" w:sz="8" w:space="0" w:color="10B981"/>
              <w:bottom w:val="single" w:sz="8" w:space="0" w:color="10B981"/>
              <w:right w:val="single" w:sz="8" w:space="0" w:color="10B981"/>
            </w:tcBorders>
            <w:tcMar>
              <w:top w:w="140" w:type="dxa"/>
              <w:bottom w:w="140" w:type="dxa"/>
              <w:left w:w="180" w:type="dxa"/>
              <w:right w:w="180" w:type="dxa"/>
            </w:tcMar>
          </w:tcPr>
          <w:p>
            <w:pPr>
              <w:jc w:val="center"/>
            </w:pPr>
            <w:r>
              <w:rPr>
                <w:rFonts w:ascii="Arial" w:hAnsi="Arial"/>
                <w:b/>
                <w:color w:val="10B981"/>
                <w:sz w:val="22"/>
              </w:rPr>
              <w:t>💡 MANAGERIAL SUMMARY</w:t>
              <w:br/>
            </w:r>
            <w:r>
              <w:rPr>
                <w:rFonts w:ascii="Arial" w:hAnsi="Arial"/>
                <w:b/>
                <w:color w:val="1E293B"/>
                <w:sz w:val="20"/>
              </w:rPr>
              <w:t>By focusing on these 5 practical AI assistants for MVP, ISML LMS delivers high impact, minimal operational complexity, and clear measurable ROI for management, faculty, and students alike.</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