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rPr>
          <w:rFonts w:ascii="Times New Roman" w:hAnsi="Times New Roman"/>
          <w:b/>
          <w:sz w:val="32"/>
        </w:rPr>
        <w:t>Cardiotox-Fusion: Phase 1 Usability Audit and Dataset Splits</w:t>
      </w:r>
    </w:p>
    <w:p>
      <w:pPr>
        <w:spacing w:line="312" w:lineRule="auto" w:after="360"/>
      </w:pPr>
      <w:r>
        <w:rPr>
          <w:rFonts w:ascii="Arial" w:hAnsi="Arial"/>
          <w:b/>
          <w:color w:val="323232"/>
          <w:sz w:val="20"/>
        </w:rPr>
        <w:t xml:space="preserve">Milestone: </w:t>
      </w:r>
      <w:r>
        <w:rPr>
          <w:rFonts w:ascii="Arial" w:hAnsi="Arial"/>
          <w:b w:val="0"/>
          <w:color w:val="323232"/>
          <w:sz w:val="20"/>
        </w:rPr>
        <w:t xml:space="preserve">Week 1 Deliverable   |   </w:t>
      </w:r>
      <w:r>
        <w:rPr>
          <w:rFonts w:ascii="Arial" w:hAnsi="Arial"/>
          <w:b/>
          <w:color w:val="323232"/>
          <w:sz w:val="20"/>
        </w:rPr>
        <w:t xml:space="preserve">Date: </w:t>
      </w:r>
      <w:r>
        <w:rPr>
          <w:rFonts w:ascii="Arial" w:hAnsi="Arial"/>
          <w:b w:val="0"/>
          <w:color w:val="323232"/>
          <w:sz w:val="20"/>
        </w:rPr>
        <w:t>July 27, 2026</w:t>
        <w:br/>
      </w:r>
      <w:r>
        <w:rPr>
          <w:rFonts w:ascii="Arial" w:hAnsi="Arial"/>
          <w:b/>
          <w:color w:val="323232"/>
          <w:sz w:val="20"/>
        </w:rPr>
        <w:t xml:space="preserve">Team Members: </w:t>
      </w:r>
      <w:r>
        <w:rPr>
          <w:rFonts w:ascii="Arial" w:hAnsi="Arial"/>
          <w:b w:val="0"/>
          <w:color w:val="323232"/>
          <w:sz w:val="20"/>
        </w:rPr>
        <w:t>Jimit Patel, Vineela, Aditya, Nehal, Pranjal</w:t>
        <w:br/>
      </w:r>
      <w:r>
        <w:rPr>
          <w:rFonts w:ascii="Arial" w:hAnsi="Arial"/>
          <w:b/>
          <w:color w:val="323232"/>
          <w:sz w:val="20"/>
        </w:rPr>
        <w:t xml:space="preserve">Repository: </w:t>
      </w:r>
      <w:r>
        <w:rPr>
          <w:rFonts w:ascii="Arial" w:hAnsi="Arial"/>
          <w:b w:val="0"/>
          <w:color w:val="323232"/>
          <w:sz w:val="20"/>
        </w:rPr>
        <w:t>github.com/JP-Bro/Cardiotox-Fusion-project</w:t>
      </w:r>
    </w:p>
    <w:p>
      <w:pPr>
        <w:spacing w:before="360" w:after="120"/>
      </w:pPr>
      <w:r>
        <w:rPr>
          <w:b/>
          <w:color w:val="000000"/>
          <w:sz w:val="26"/>
        </w:rPr>
        <w:t>1. Dataset Usability Audit</w:t>
      </w:r>
    </w:p>
    <w:p>
      <w:pPr>
        <w:spacing w:after="120"/>
      </w:pPr>
      <w:r>
        <w:t>To establish the modeling boundaries for the GNN-Transformer fusion model, we performed a joint audit of the FDA DICTrank labeling set and the LINCS L1000 GSE70138 level-5 expression matrix. Compounds were retained in the usable cohort only if they met the following criteria:</w:t>
      </w:r>
    </w:p>
    <w:p>
      <w:pPr>
        <w:pStyle w:val="ListBullet"/>
        <w:spacing w:after="60"/>
      </w:pPr>
      <w:r>
        <w:rPr>
          <w:sz w:val="22"/>
        </w:rPr>
        <w:t>Possessed a valid, parseable chemical structure (verified via RDKit).</w:t>
      </w:r>
    </w:p>
    <w:p>
      <w:pPr>
        <w:pStyle w:val="ListBullet"/>
        <w:spacing w:after="60"/>
      </w:pPr>
      <w:r>
        <w:rPr>
          <w:sz w:val="22"/>
        </w:rPr>
        <w:t>Matched a unique Level-5 perturbation signature (COMPZ) in the HA1E cell line (10.0 µM dose, 24-hour time point).</w:t>
      </w:r>
    </w:p>
    <w:p>
      <w:pPr>
        <w:pStyle w:val="ListBullet"/>
        <w:spacing w:after="60"/>
      </w:pPr>
      <w:r>
        <w:rPr>
          <w:sz w:val="22"/>
        </w:rPr>
        <w:t>Carried a non-ambiguous DICTrank label mapping to binary classification (No concern = 0; Less/Most concern = 1).</w:t>
      </w:r>
    </w:p>
    <w:p>
      <w:pPr>
        <w:spacing w:before="120" w:after="200"/>
      </w:pPr>
      <w:r>
        <w:t>Out of the raw 1,211 labeled DICTrank compounds, a total of 562 compounds met all three requirements, forming our core dataset. The breakdown across the cardiotoxicity label categories is detailed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032"/>
            <w:shd w:fill="1A1A2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DICTrank Category</w:t>
            </w:r>
          </w:p>
        </w:tc>
        <w:tc>
          <w:tcPr>
            <w:tcW w:type="dxa" w:w="1728"/>
            <w:shd w:fill="1A1A2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Model Label</w:t>
            </w:r>
          </w:p>
        </w:tc>
        <w:tc>
          <w:tcPr>
            <w:tcW w:type="dxa" w:w="1728"/>
            <w:shd w:fill="1A1A2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Usable Count</w:t>
            </w:r>
          </w:p>
        </w:tc>
        <w:tc>
          <w:tcPr>
            <w:tcW w:type="dxa" w:w="1872"/>
            <w:shd w:fill="1A1A2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Percentage</w:t>
            </w:r>
          </w:p>
        </w:tc>
      </w:tr>
      <w:tr>
        <w:tc>
          <w:tcPr>
            <w:tcW w:type="dxa" w:w="403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Most Concern (High Risk)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1 (Positive)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199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35.4%</w:t>
            </w:r>
          </w:p>
        </w:tc>
      </w:tr>
      <w:tr>
        <w:tc>
          <w:tcPr>
            <w:tcW w:type="dxa" w:w="403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Less Concern (Medium Risk)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1 (Positive)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246</w:t>
            </w:r>
          </w:p>
        </w:tc>
        <w:tc>
          <w:tcPr>
            <w:tcW w:type="dxa" w:w="187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43.8%</w:t>
            </w:r>
          </w:p>
        </w:tc>
      </w:tr>
      <w:tr>
        <w:tc>
          <w:tcPr>
            <w:tcW w:type="dxa" w:w="403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No Concern (Safe)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0 (Negative)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117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20.8%</w:t>
            </w:r>
          </w:p>
        </w:tc>
      </w:tr>
      <w:tr>
        <w:tc>
          <w:tcPr>
            <w:tcW w:type="dxa" w:w="4032"/>
            <w:shd w:fill="EAEAE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9"/>
              </w:rPr>
              <w:t>Total Usable Set</w:t>
            </w:r>
          </w:p>
        </w:tc>
        <w:tc>
          <w:tcPr>
            <w:tcW w:type="dxa" w:w="1728"/>
            <w:shd w:fill="EAEAE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9"/>
              </w:rPr>
              <w:t>—</w:t>
            </w:r>
          </w:p>
        </w:tc>
        <w:tc>
          <w:tcPr>
            <w:tcW w:type="dxa" w:w="1728"/>
            <w:shd w:fill="EAEAE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9"/>
              </w:rPr>
              <w:t>562</w:t>
            </w:r>
          </w:p>
        </w:tc>
        <w:tc>
          <w:tcPr>
            <w:tcW w:type="dxa" w:w="1872"/>
            <w:shd w:fill="EAEAE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9"/>
              </w:rPr>
              <w:t>100.0%</w:t>
            </w:r>
          </w:p>
        </w:tc>
      </w:tr>
    </w:tbl>
    <w:p>
      <w:pPr>
        <w:spacing w:before="0" w:after="120"/>
      </w:pPr>
    </w:p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4572000" cy="35292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1_usable_coh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29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19"/>
        </w:rPr>
        <w:t>Figure 1: Usable Dataset Cohort distribution by FDA DICTrank concern class.</w:t>
      </w:r>
    </w:p>
    <w:p>
      <w:pPr>
        <w:spacing w:before="360" w:after="120"/>
      </w:pPr>
      <w:r>
        <w:rPr>
          <w:b/>
          <w:sz w:val="26"/>
        </w:rPr>
        <w:t>2. Leakage-Free Dataset Splits</w:t>
      </w:r>
    </w:p>
    <w:p>
      <w:pPr>
        <w:spacing w:after="240"/>
      </w:pPr>
      <w:r>
        <w:t>To prevent target leakage and ensure realistic validation generalizability, we implemented two separate stratified splitting schemes. In both schemes, splits are frozen at a 70 / 15 / 15 ratio.</w:t>
      </w:r>
    </w:p>
    <w:p>
      <w:pPr>
        <w:spacing w:before="160" w:after="120"/>
      </w:pPr>
      <w:r>
        <w:rPr>
          <w:b/>
          <w:i/>
          <w:sz w:val="23"/>
        </w:rPr>
        <w:t>A. Drug-Level Splits (Stratified)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fill="1A1A2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Partition</w:t>
            </w:r>
          </w:p>
        </w:tc>
        <w:tc>
          <w:tcPr>
            <w:tcW w:type="dxa" w:w="1872"/>
            <w:shd w:fill="1A1A2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Compound Count</w:t>
            </w:r>
          </w:p>
        </w:tc>
        <w:tc>
          <w:tcPr>
            <w:tcW w:type="dxa" w:w="1872"/>
            <w:shd w:fill="1A1A2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Positive (Tox) Count</w:t>
            </w:r>
          </w:p>
        </w:tc>
        <w:tc>
          <w:tcPr>
            <w:tcW w:type="dxa" w:w="1872"/>
            <w:shd w:fill="1A1A2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Negative (Safe) Count</w:t>
            </w:r>
          </w:p>
        </w:tc>
        <w:tc>
          <w:tcPr>
            <w:tcW w:type="dxa" w:w="1584"/>
            <w:shd w:fill="1A1A2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Positive Rate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Train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393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311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82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79.1%</w:t>
            </w:r>
          </w:p>
        </w:tc>
      </w:tr>
      <w:tr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Validation</w:t>
            </w:r>
          </w:p>
        </w:tc>
        <w:tc>
          <w:tcPr>
            <w:tcW w:type="dxa" w:w="187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84</w:t>
            </w:r>
          </w:p>
        </w:tc>
        <w:tc>
          <w:tcPr>
            <w:tcW w:type="dxa" w:w="187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67</w:t>
            </w:r>
          </w:p>
        </w:tc>
        <w:tc>
          <w:tcPr>
            <w:tcW w:type="dxa" w:w="187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17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79.8%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Test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85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67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18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78.8%</w:t>
            </w:r>
          </w:p>
        </w:tc>
      </w:tr>
      <w:tr>
        <w:tc>
          <w:tcPr>
            <w:tcW w:type="dxa" w:w="2160"/>
            <w:shd w:fill="EAEAE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9"/>
              </w:rPr>
              <w:t>Total Set</w:t>
            </w:r>
          </w:p>
        </w:tc>
        <w:tc>
          <w:tcPr>
            <w:tcW w:type="dxa" w:w="1872"/>
            <w:shd w:fill="EAEAE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9"/>
              </w:rPr>
              <w:t>562</w:t>
            </w:r>
          </w:p>
        </w:tc>
        <w:tc>
          <w:tcPr>
            <w:tcW w:type="dxa" w:w="1872"/>
            <w:shd w:fill="EAEAE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9"/>
              </w:rPr>
              <w:t>445</w:t>
            </w:r>
          </w:p>
        </w:tc>
        <w:tc>
          <w:tcPr>
            <w:tcW w:type="dxa" w:w="1872"/>
            <w:shd w:fill="EAEAE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9"/>
              </w:rPr>
              <w:t>117</w:t>
            </w:r>
          </w:p>
        </w:tc>
        <w:tc>
          <w:tcPr>
            <w:tcW w:type="dxa" w:w="1584"/>
            <w:shd w:fill="EAEAE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9"/>
              </w:rPr>
              <w:t>79.2%</w:t>
            </w:r>
          </w:p>
        </w:tc>
      </w:tr>
    </w:tbl>
    <w:p>
      <w:pPr>
        <w:spacing w:before="0" w:after="120"/>
      </w:pPr>
    </w:p>
    <w:p>
      <w:pPr>
        <w:spacing w:before="160" w:after="120"/>
      </w:pPr>
      <w:r>
        <w:rPr>
          <w:b/>
          <w:i/>
          <w:sz w:val="23"/>
        </w:rPr>
        <w:t>B. Bemis-Murcko Scaffold Splits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fill="1A1A2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Partition</w:t>
            </w:r>
          </w:p>
        </w:tc>
        <w:tc>
          <w:tcPr>
            <w:tcW w:type="dxa" w:w="1872"/>
            <w:shd w:fill="1A1A2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Compound Count</w:t>
            </w:r>
          </w:p>
        </w:tc>
        <w:tc>
          <w:tcPr>
            <w:tcW w:type="dxa" w:w="1872"/>
            <w:shd w:fill="1A1A2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Positive (Tox) Count</w:t>
            </w:r>
          </w:p>
        </w:tc>
        <w:tc>
          <w:tcPr>
            <w:tcW w:type="dxa" w:w="1872"/>
            <w:shd w:fill="1A1A2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Negative (Safe) Count</w:t>
            </w:r>
          </w:p>
        </w:tc>
        <w:tc>
          <w:tcPr>
            <w:tcW w:type="dxa" w:w="1584"/>
            <w:shd w:fill="1A1A2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Positive Rate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Train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393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312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81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79.4%</w:t>
            </w:r>
          </w:p>
        </w:tc>
      </w:tr>
      <w:tr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Validation</w:t>
            </w:r>
          </w:p>
        </w:tc>
        <w:tc>
          <w:tcPr>
            <w:tcW w:type="dxa" w:w="187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84</w:t>
            </w:r>
          </w:p>
        </w:tc>
        <w:tc>
          <w:tcPr>
            <w:tcW w:type="dxa" w:w="187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63</w:t>
            </w:r>
          </w:p>
        </w:tc>
        <w:tc>
          <w:tcPr>
            <w:tcW w:type="dxa" w:w="187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21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75.0%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Test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85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70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15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82.4%</w:t>
            </w:r>
          </w:p>
        </w:tc>
      </w:tr>
      <w:tr>
        <w:tc>
          <w:tcPr>
            <w:tcW w:type="dxa" w:w="2160"/>
            <w:shd w:fill="EAEAE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9"/>
              </w:rPr>
              <w:t>Total Set</w:t>
            </w:r>
          </w:p>
        </w:tc>
        <w:tc>
          <w:tcPr>
            <w:tcW w:type="dxa" w:w="1872"/>
            <w:shd w:fill="EAEAE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9"/>
              </w:rPr>
              <w:t>562</w:t>
            </w:r>
          </w:p>
        </w:tc>
        <w:tc>
          <w:tcPr>
            <w:tcW w:type="dxa" w:w="1872"/>
            <w:shd w:fill="EAEAE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9"/>
              </w:rPr>
              <w:t>445</w:t>
            </w:r>
          </w:p>
        </w:tc>
        <w:tc>
          <w:tcPr>
            <w:tcW w:type="dxa" w:w="1872"/>
            <w:shd w:fill="EAEAE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9"/>
              </w:rPr>
              <w:t>117</w:t>
            </w:r>
          </w:p>
        </w:tc>
        <w:tc>
          <w:tcPr>
            <w:tcW w:type="dxa" w:w="1584"/>
            <w:shd w:fill="EAEAE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9"/>
              </w:rPr>
              <w:t>79.2%</w:t>
            </w:r>
          </w:p>
        </w:tc>
      </w:tr>
    </w:tbl>
    <w:p>
      <w:pPr>
        <w:spacing w:before="0" w:after="120"/>
      </w:pPr>
    </w:p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4572000" cy="31150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1_splits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15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19"/>
        </w:rPr>
        <w:t>Figure 2: Target partition sizes and positive rates across drug-level and scaffold splits.</w:t>
      </w:r>
    </w:p>
    <w:p>
      <w:pPr>
        <w:spacing w:before="360" w:after="120"/>
      </w:pPr>
      <w:r>
        <w:rPr>
          <w:b/>
          <w:sz w:val="26"/>
        </w:rPr>
        <w:t>3. Verification and Reproducibility</w:t>
      </w:r>
    </w:p>
    <w:p>
      <w:pPr>
        <w:spacing w:after="240"/>
      </w:pPr>
      <w:r>
        <w:t>All data processing steps are fully automated. The random seed is frozen at 42 in config.py, and both split files are frozen and saved in the project repository at data/splits/drug_split.csv and data/splits/scaffold_split.csv. These splits will remain frozen throughout the modeling pipeline.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