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sz w:val="30"/>
        </w:rPr>
        <w:t>Cardiotox-Fusion: Comparative Evaluation of GNN and Transformer Architectures for Predicting FDA DICTrank Cardiotoxicity</w:t>
      </w:r>
    </w:p>
    <w:p>
      <w:pPr>
        <w:spacing w:line="312" w:lineRule="auto" w:after="360"/>
      </w:pPr>
      <w:r>
        <w:rPr>
          <w:rFonts w:ascii="Arial" w:hAnsi="Arial"/>
          <w:b/>
          <w:color w:val="323232"/>
          <w:sz w:val="19"/>
        </w:rPr>
        <w:t xml:space="preserve">Milestone: </w:t>
      </w:r>
      <w:r>
        <w:rPr>
          <w:rFonts w:ascii="Arial" w:hAnsi="Arial"/>
          <w:b w:val="0"/>
          <w:color w:val="323232"/>
          <w:sz w:val="19"/>
        </w:rPr>
        <w:t xml:space="preserve">Week 1 Deliverable   |   </w:t>
      </w:r>
      <w:r>
        <w:rPr>
          <w:rFonts w:ascii="Arial" w:hAnsi="Arial"/>
          <w:b/>
          <w:color w:val="323232"/>
          <w:sz w:val="19"/>
        </w:rPr>
        <w:t xml:space="preserve">Date: </w:t>
      </w:r>
      <w:r>
        <w:rPr>
          <w:rFonts w:ascii="Arial" w:hAnsi="Arial"/>
          <w:b w:val="0"/>
          <w:color w:val="323232"/>
          <w:sz w:val="19"/>
        </w:rPr>
        <w:t>July 28, 2026</w:t>
        <w:br/>
      </w:r>
      <w:r>
        <w:rPr>
          <w:rFonts w:ascii="Arial" w:hAnsi="Arial"/>
          <w:b/>
          <w:color w:val="323232"/>
          <w:sz w:val="19"/>
        </w:rPr>
        <w:t xml:space="preserve">Team Members: </w:t>
      </w:r>
      <w:r>
        <w:rPr>
          <w:rFonts w:ascii="Arial" w:hAnsi="Arial"/>
          <w:b w:val="0"/>
          <w:color w:val="323232"/>
          <w:sz w:val="19"/>
        </w:rPr>
        <w:t>Jimit Patel, Vineela, Aditya, Nehal, Pranjal</w:t>
        <w:br/>
      </w:r>
      <w:r>
        <w:rPr>
          <w:rFonts w:ascii="Arial" w:hAnsi="Arial"/>
          <w:b/>
          <w:color w:val="323232"/>
          <w:sz w:val="19"/>
        </w:rPr>
        <w:t xml:space="preserve">Submitted to: </w:t>
      </w:r>
      <w:r>
        <w:rPr>
          <w:rFonts w:ascii="Arial" w:hAnsi="Arial"/>
          <w:b w:val="0"/>
          <w:color w:val="323232"/>
          <w:sz w:val="19"/>
        </w:rPr>
        <w:t>Dr. Bharat Manna (School of Bio Sciences and Technology, VIT)</w:t>
        <w:br/>
      </w:r>
      <w:r>
        <w:rPr>
          <w:rFonts w:ascii="Arial" w:hAnsi="Arial"/>
          <w:b/>
          <w:color w:val="323232"/>
          <w:sz w:val="19"/>
        </w:rPr>
        <w:t xml:space="preserve">Repository: </w:t>
      </w:r>
      <w:r>
        <w:rPr>
          <w:rFonts w:ascii="Arial" w:hAnsi="Arial"/>
          <w:b w:val="0"/>
          <w:color w:val="323232"/>
          <w:sz w:val="19"/>
        </w:rPr>
        <w:t>github.com/JP-Bro/Cardiotox-Fusion-project</w:t>
      </w:r>
    </w:p>
    <w:p>
      <w:pPr>
        <w:spacing w:before="360" w:after="120"/>
      </w:pPr>
      <w:r>
        <w:rPr>
          <w:b/>
          <w:color w:val="000000"/>
          <w:sz w:val="26"/>
        </w:rPr>
        <w:t>1. Dataset Usability Audit</w:t>
      </w:r>
    </w:p>
    <w:p>
      <w:pPr>
        <w:spacing w:after="120"/>
      </w:pPr>
      <w:r>
        <w:t>To establish the modeling boundaries for our comparative evaluation, we performed a joint audit of the FDA DICTrank labeling set and the LINCS L1000 GSE70138 level-5 expression matrix. Compounds were retained in the usable cohort only if they met the following criteria:</w:t>
      </w:r>
    </w:p>
    <w:p>
      <w:pPr>
        <w:pStyle w:val="ListBullet"/>
        <w:spacing w:after="60"/>
      </w:pPr>
      <w:r>
        <w:rPr>
          <w:sz w:val="22"/>
        </w:rPr>
        <w:t>Possessed a valid, parseable chemical structure (verified via RDKit).</w:t>
      </w:r>
    </w:p>
    <w:p>
      <w:pPr>
        <w:pStyle w:val="ListBullet"/>
        <w:spacing w:after="60"/>
      </w:pPr>
      <w:r>
        <w:rPr>
          <w:sz w:val="22"/>
        </w:rPr>
        <w:t>Matched a unique Level-5 perturbation signature (COMPZ) in the HA1E cell line (10.0 µM dose, 24-hour time point).</w:t>
      </w:r>
    </w:p>
    <w:p>
      <w:pPr>
        <w:pStyle w:val="ListBullet"/>
        <w:spacing w:after="60"/>
      </w:pPr>
      <w:r>
        <w:rPr>
          <w:sz w:val="22"/>
        </w:rPr>
        <w:t>Carried a non-ambiguous DICTrank label mapping to binary classification (No concern = 0; Less/Most concern = 1).</w:t>
      </w:r>
    </w:p>
    <w:p>
      <w:pPr>
        <w:spacing w:before="120" w:after="200"/>
      </w:pPr>
      <w:r>
        <w:t>Out of the raw 1,211 labeled DICTrank compounds, a total of 562 compounds met all three requirements, forming our core dataset. The breakdown across the cardiotoxicity label categories is detailed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032"/>
            <w:shd w:fill="1A1A2E"/>
            <w:tcMar>
              <w:top w:w="120" w:type="dxa"/>
              <w:bottom w:w="120" w:type="dxa"/>
              <w:left w:w="150" w:type="dxa"/>
              <w:right w:w="150" w:type="dxa"/>
            </w:tcMar>
          </w:tcPr>
          <w:p>
            <w:pPr>
              <w:jc w:val="left"/>
            </w:pPr>
            <w:r>
              <w:rPr>
                <w:rFonts w:ascii="Arial" w:hAnsi="Arial"/>
                <w:b/>
                <w:color w:val="FFFFFF"/>
                <w:sz w:val="19"/>
              </w:rPr>
              <w:t>DICTrank Category</w:t>
            </w:r>
          </w:p>
        </w:tc>
        <w:tc>
          <w:tcPr>
            <w:tcW w:type="dxa" w:w="1728"/>
            <w:shd w:fill="1A1A2E"/>
            <w:tcMar>
              <w:top w:w="120" w:type="dxa"/>
              <w:bottom w:w="120" w:type="dxa"/>
              <w:left w:w="150" w:type="dxa"/>
              <w:right w:w="150" w:type="dxa"/>
            </w:tcMar>
          </w:tcPr>
          <w:p>
            <w:pPr>
              <w:jc w:val="left"/>
            </w:pPr>
            <w:r>
              <w:rPr>
                <w:rFonts w:ascii="Arial" w:hAnsi="Arial"/>
                <w:b/>
                <w:color w:val="FFFFFF"/>
                <w:sz w:val="19"/>
              </w:rPr>
              <w:t>Model Label</w:t>
            </w:r>
          </w:p>
        </w:tc>
        <w:tc>
          <w:tcPr>
            <w:tcW w:type="dxa" w:w="1728"/>
            <w:shd w:fill="1A1A2E"/>
            <w:tcMar>
              <w:top w:w="120" w:type="dxa"/>
              <w:bottom w:w="120" w:type="dxa"/>
              <w:left w:w="150" w:type="dxa"/>
              <w:right w:w="150" w:type="dxa"/>
            </w:tcMar>
          </w:tcPr>
          <w:p>
            <w:pPr>
              <w:jc w:val="left"/>
            </w:pPr>
            <w:r>
              <w:rPr>
                <w:rFonts w:ascii="Arial" w:hAnsi="Arial"/>
                <w:b/>
                <w:color w:val="FFFFFF"/>
                <w:sz w:val="19"/>
              </w:rPr>
              <w:t>Usable Count</w:t>
            </w:r>
          </w:p>
        </w:tc>
        <w:tc>
          <w:tcPr>
            <w:tcW w:type="dxa" w:w="1872"/>
            <w:shd w:fill="1A1A2E"/>
            <w:tcMar>
              <w:top w:w="120" w:type="dxa"/>
              <w:bottom w:w="120" w:type="dxa"/>
              <w:left w:w="150" w:type="dxa"/>
              <w:right w:w="150" w:type="dxa"/>
            </w:tcMar>
          </w:tcPr>
          <w:p>
            <w:pPr>
              <w:jc w:val="left"/>
            </w:pPr>
            <w:r>
              <w:rPr>
                <w:rFonts w:ascii="Arial" w:hAnsi="Arial"/>
                <w:b/>
                <w:color w:val="FFFFFF"/>
                <w:sz w:val="19"/>
              </w:rPr>
              <w:t>Percentage</w:t>
            </w:r>
          </w:p>
        </w:tc>
      </w:tr>
      <w:tr>
        <w:tc>
          <w:tcPr>
            <w:tcW w:type="dxa" w:w="4032"/>
            <w:shd w:fill="FFFFFF"/>
            <w:tcMar>
              <w:top w:w="100" w:type="dxa"/>
              <w:bottom w:w="100" w:type="dxa"/>
              <w:left w:w="150" w:type="dxa"/>
              <w:right w:w="150" w:type="dxa"/>
            </w:tcMar>
          </w:tcPr>
          <w:p>
            <w:pPr>
              <w:jc w:val="left"/>
            </w:pPr>
            <w:r>
              <w:rPr>
                <w:rFonts w:ascii="Arial" w:hAnsi="Arial"/>
                <w:sz w:val="19"/>
              </w:rPr>
              <w:t>Most Concern (High Risk)</w:t>
            </w:r>
          </w:p>
        </w:tc>
        <w:tc>
          <w:tcPr>
            <w:tcW w:type="dxa" w:w="1728"/>
            <w:shd w:fill="FFFFFF"/>
            <w:tcMar>
              <w:top w:w="100" w:type="dxa"/>
              <w:bottom w:w="100" w:type="dxa"/>
              <w:left w:w="150" w:type="dxa"/>
              <w:right w:w="150" w:type="dxa"/>
            </w:tcMar>
          </w:tcPr>
          <w:p>
            <w:pPr>
              <w:jc w:val="left"/>
            </w:pPr>
            <w:r>
              <w:rPr>
                <w:rFonts w:ascii="Arial" w:hAnsi="Arial"/>
                <w:sz w:val="19"/>
              </w:rPr>
              <w:t>1 (Positive)</w:t>
            </w:r>
          </w:p>
        </w:tc>
        <w:tc>
          <w:tcPr>
            <w:tcW w:type="dxa" w:w="1728"/>
            <w:shd w:fill="FFFFFF"/>
            <w:tcMar>
              <w:top w:w="100" w:type="dxa"/>
              <w:bottom w:w="100" w:type="dxa"/>
              <w:left w:w="150" w:type="dxa"/>
              <w:right w:w="150" w:type="dxa"/>
            </w:tcMar>
          </w:tcPr>
          <w:p>
            <w:pPr>
              <w:jc w:val="left"/>
            </w:pPr>
            <w:r>
              <w:rPr>
                <w:rFonts w:ascii="Arial" w:hAnsi="Arial"/>
                <w:sz w:val="19"/>
              </w:rPr>
              <w:t>199</w:t>
            </w:r>
          </w:p>
        </w:tc>
        <w:tc>
          <w:tcPr>
            <w:tcW w:type="dxa" w:w="1872"/>
            <w:shd w:fill="FFFFFF"/>
            <w:tcMar>
              <w:top w:w="100" w:type="dxa"/>
              <w:bottom w:w="100" w:type="dxa"/>
              <w:left w:w="150" w:type="dxa"/>
              <w:right w:w="150" w:type="dxa"/>
            </w:tcMar>
          </w:tcPr>
          <w:p>
            <w:pPr>
              <w:jc w:val="left"/>
            </w:pPr>
            <w:r>
              <w:rPr>
                <w:rFonts w:ascii="Arial" w:hAnsi="Arial"/>
                <w:sz w:val="19"/>
              </w:rPr>
              <w:t>35.4%</w:t>
            </w:r>
          </w:p>
        </w:tc>
      </w:tr>
      <w:tr>
        <w:tc>
          <w:tcPr>
            <w:tcW w:type="dxa" w:w="4032"/>
            <w:shd w:fill="F9F9F9"/>
            <w:tcMar>
              <w:top w:w="100" w:type="dxa"/>
              <w:bottom w:w="100" w:type="dxa"/>
              <w:left w:w="150" w:type="dxa"/>
              <w:right w:w="150" w:type="dxa"/>
            </w:tcMar>
          </w:tcPr>
          <w:p>
            <w:pPr>
              <w:jc w:val="left"/>
            </w:pPr>
            <w:r>
              <w:rPr>
                <w:rFonts w:ascii="Arial" w:hAnsi="Arial"/>
                <w:sz w:val="19"/>
              </w:rPr>
              <w:t>Less Concern (Medium Risk)</w:t>
            </w:r>
          </w:p>
        </w:tc>
        <w:tc>
          <w:tcPr>
            <w:tcW w:type="dxa" w:w="1728"/>
            <w:shd w:fill="F9F9F9"/>
            <w:tcMar>
              <w:top w:w="100" w:type="dxa"/>
              <w:bottom w:w="100" w:type="dxa"/>
              <w:left w:w="150" w:type="dxa"/>
              <w:right w:w="150" w:type="dxa"/>
            </w:tcMar>
          </w:tcPr>
          <w:p>
            <w:pPr>
              <w:jc w:val="left"/>
            </w:pPr>
            <w:r>
              <w:rPr>
                <w:rFonts w:ascii="Arial" w:hAnsi="Arial"/>
                <w:sz w:val="19"/>
              </w:rPr>
              <w:t>1 (Positive)</w:t>
            </w:r>
          </w:p>
        </w:tc>
        <w:tc>
          <w:tcPr>
            <w:tcW w:type="dxa" w:w="1728"/>
            <w:shd w:fill="F9F9F9"/>
            <w:tcMar>
              <w:top w:w="100" w:type="dxa"/>
              <w:bottom w:w="100" w:type="dxa"/>
              <w:left w:w="150" w:type="dxa"/>
              <w:right w:w="150" w:type="dxa"/>
            </w:tcMar>
          </w:tcPr>
          <w:p>
            <w:pPr>
              <w:jc w:val="left"/>
            </w:pPr>
            <w:r>
              <w:rPr>
                <w:rFonts w:ascii="Arial" w:hAnsi="Arial"/>
                <w:sz w:val="19"/>
              </w:rPr>
              <w:t>246</w:t>
            </w:r>
          </w:p>
        </w:tc>
        <w:tc>
          <w:tcPr>
            <w:tcW w:type="dxa" w:w="1872"/>
            <w:shd w:fill="F9F9F9"/>
            <w:tcMar>
              <w:top w:w="100" w:type="dxa"/>
              <w:bottom w:w="100" w:type="dxa"/>
              <w:left w:w="150" w:type="dxa"/>
              <w:right w:w="150" w:type="dxa"/>
            </w:tcMar>
          </w:tcPr>
          <w:p>
            <w:pPr>
              <w:jc w:val="left"/>
            </w:pPr>
            <w:r>
              <w:rPr>
                <w:rFonts w:ascii="Arial" w:hAnsi="Arial"/>
                <w:sz w:val="19"/>
              </w:rPr>
              <w:t>43.8%</w:t>
            </w:r>
          </w:p>
        </w:tc>
      </w:tr>
      <w:tr>
        <w:tc>
          <w:tcPr>
            <w:tcW w:type="dxa" w:w="4032"/>
            <w:shd w:fill="FFFFFF"/>
            <w:tcMar>
              <w:top w:w="100" w:type="dxa"/>
              <w:bottom w:w="100" w:type="dxa"/>
              <w:left w:w="150" w:type="dxa"/>
              <w:right w:w="150" w:type="dxa"/>
            </w:tcMar>
          </w:tcPr>
          <w:p>
            <w:pPr>
              <w:jc w:val="left"/>
            </w:pPr>
            <w:r>
              <w:rPr>
                <w:rFonts w:ascii="Arial" w:hAnsi="Arial"/>
                <w:sz w:val="19"/>
              </w:rPr>
              <w:t>No Concern (Safe)</w:t>
            </w:r>
          </w:p>
        </w:tc>
        <w:tc>
          <w:tcPr>
            <w:tcW w:type="dxa" w:w="1728"/>
            <w:shd w:fill="FFFFFF"/>
            <w:tcMar>
              <w:top w:w="100" w:type="dxa"/>
              <w:bottom w:w="100" w:type="dxa"/>
              <w:left w:w="150" w:type="dxa"/>
              <w:right w:w="150" w:type="dxa"/>
            </w:tcMar>
          </w:tcPr>
          <w:p>
            <w:pPr>
              <w:jc w:val="left"/>
            </w:pPr>
            <w:r>
              <w:rPr>
                <w:rFonts w:ascii="Arial" w:hAnsi="Arial"/>
                <w:sz w:val="19"/>
              </w:rPr>
              <w:t>0 (Negative)</w:t>
            </w:r>
          </w:p>
        </w:tc>
        <w:tc>
          <w:tcPr>
            <w:tcW w:type="dxa" w:w="1728"/>
            <w:shd w:fill="FFFFFF"/>
            <w:tcMar>
              <w:top w:w="100" w:type="dxa"/>
              <w:bottom w:w="100" w:type="dxa"/>
              <w:left w:w="150" w:type="dxa"/>
              <w:right w:w="150" w:type="dxa"/>
            </w:tcMar>
          </w:tcPr>
          <w:p>
            <w:pPr>
              <w:jc w:val="left"/>
            </w:pPr>
            <w:r>
              <w:rPr>
                <w:rFonts w:ascii="Arial" w:hAnsi="Arial"/>
                <w:sz w:val="19"/>
              </w:rPr>
              <w:t>117</w:t>
            </w:r>
          </w:p>
        </w:tc>
        <w:tc>
          <w:tcPr>
            <w:tcW w:type="dxa" w:w="1872"/>
            <w:shd w:fill="FFFFFF"/>
            <w:tcMar>
              <w:top w:w="100" w:type="dxa"/>
              <w:bottom w:w="100" w:type="dxa"/>
              <w:left w:w="150" w:type="dxa"/>
              <w:right w:w="150" w:type="dxa"/>
            </w:tcMar>
          </w:tcPr>
          <w:p>
            <w:pPr>
              <w:jc w:val="left"/>
            </w:pPr>
            <w:r>
              <w:rPr>
                <w:rFonts w:ascii="Arial" w:hAnsi="Arial"/>
                <w:sz w:val="19"/>
              </w:rPr>
              <w:t>20.8%</w:t>
            </w:r>
          </w:p>
        </w:tc>
      </w:tr>
      <w:tr>
        <w:tc>
          <w:tcPr>
            <w:tcW w:type="dxa" w:w="4032"/>
            <w:shd w:fill="EAEAEA"/>
            <w:tcMar>
              <w:top w:w="100" w:type="dxa"/>
              <w:bottom w:w="100" w:type="dxa"/>
              <w:left w:w="150" w:type="dxa"/>
              <w:right w:w="150" w:type="dxa"/>
            </w:tcMar>
          </w:tcPr>
          <w:p>
            <w:pPr>
              <w:jc w:val="left"/>
            </w:pPr>
            <w:r>
              <w:rPr>
                <w:rFonts w:ascii="Arial" w:hAnsi="Arial"/>
                <w:b/>
                <w:sz w:val="19"/>
              </w:rPr>
              <w:t>Total Usable Set</w:t>
            </w:r>
          </w:p>
        </w:tc>
        <w:tc>
          <w:tcPr>
            <w:tcW w:type="dxa" w:w="1728"/>
            <w:shd w:fill="EAEAEA"/>
            <w:tcMar>
              <w:top w:w="100" w:type="dxa"/>
              <w:bottom w:w="100" w:type="dxa"/>
              <w:left w:w="150" w:type="dxa"/>
              <w:right w:w="150" w:type="dxa"/>
            </w:tcMar>
          </w:tcPr>
          <w:p>
            <w:pPr>
              <w:jc w:val="left"/>
            </w:pPr>
            <w:r>
              <w:rPr>
                <w:rFonts w:ascii="Arial" w:hAnsi="Arial"/>
                <w:b/>
                <w:sz w:val="19"/>
              </w:rPr>
              <w:t>—</w:t>
            </w:r>
          </w:p>
        </w:tc>
        <w:tc>
          <w:tcPr>
            <w:tcW w:type="dxa" w:w="1728"/>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100.0%</w:t>
            </w:r>
          </w:p>
        </w:tc>
      </w:tr>
    </w:tbl>
    <w:p>
      <w:pPr>
        <w:spacing w:before="0" w:after="120"/>
      </w:pPr>
    </w:p>
    <w:p>
      <w:pPr>
        <w:spacing w:before="120" w:after="60"/>
      </w:pPr>
      <w:r>
        <w:rPr>
          <w:b/>
          <w:sz w:val="20"/>
        </w:rPr>
        <w:t>Jupyter Notebook Audit Execution Verification Log:</w:t>
      </w:r>
    </w:p>
    <w:p/>
    <w:tbl>
      <w:tblPr>
        <w:tblW w:type="auto" w:w="0"/>
        <w:jc w:val="center"/>
        <w:tblLook w:firstColumn="1" w:firstRow="1" w:lastColumn="0" w:lastRow="0" w:noHBand="0" w:noVBand="1" w:val="04A0"/>
      </w:tblPr>
      <w:tblGrid>
        <w:gridCol w:w="9360"/>
      </w:tblGrid>
      <w:tr>
        <w:tc>
          <w:tcPr>
            <w:tcW w:type="dxa" w:w="8352"/>
            <w:shd w:fill="F5F5F7"/>
            <w:tcMar>
              <w:top w:w="80" w:type="dxa"/>
              <w:bottom w:w="80" w:type="dxa"/>
              <w:left w:w="120" w:type="dxa"/>
              <w:right w:w="120" w:type="dxa"/>
            </w:tcMar>
          </w:tcPr>
          <w:p>
            <w:pPr>
              <w:spacing w:line="276" w:lineRule="auto" w:after="0"/>
            </w:pPr>
            <w:r>
              <w:rPr>
                <w:rFonts w:ascii="Courier New" w:hAnsi="Courier New"/>
                <w:color w:val="1E1E1E"/>
                <w:sz w:val="17"/>
              </w:rPr>
              <w:t>In [2]: # Load and merge datasets</w:t>
              <w:br/>
              <w:t>Raw DICTrank count: 1211</w:t>
              <w:br/>
              <w:t>L1000 matched compounds: 1048</w:t>
              <w:br/>
              <w:t>Merged set count: 1048</w:t>
              <w:br/>
              <w:br/>
              <w:t>In [4]: # Class Counts Verification</w:t>
              <w:br/>
              <w:t>--- CLASS COUNTS (DICTrank Full Set) ---</w:t>
              <w:br/>
              <w:t xml:space="preserve">  less           : 451</w:t>
              <w:br/>
              <w:t xml:space="preserve">  most           : 318</w:t>
              <w:br/>
              <w:t xml:space="preserve">  no             : 279</w:t>
              <w:br/>
              <w:br/>
              <w:t>--- CLASS COUNTS (LINCS-Overlapping Usable Set) ---</w:t>
              <w:br/>
              <w:t xml:space="preserve">  less           : 246 (43.8%)</w:t>
              <w:br/>
              <w:t xml:space="preserve">  most           : 199 (35.4%)</w:t>
              <w:br/>
              <w:t xml:space="preserve">  no             : 117 (20.8%)</w:t>
            </w:r>
          </w:p>
        </w:tc>
      </w:tr>
    </w:tbl>
    <w:p>
      <w:pPr>
        <w:spacing w:after="240"/>
      </w:pPr>
    </w:p>
    <w:p>
      <w:pPr>
        <w:spacing w:after="360"/>
        <w:jc w:val="center"/>
      </w:pPr>
      <w:r>
        <w:drawing>
          <wp:inline xmlns:a="http://schemas.openxmlformats.org/drawingml/2006/main" xmlns:pic="http://schemas.openxmlformats.org/drawingml/2006/picture">
            <wp:extent cx="4114800" cy="3176295"/>
            <wp:docPr id="1" name="Picture 1"/>
            <wp:cNvGraphicFramePr>
              <a:graphicFrameLocks noChangeAspect="1"/>
            </wp:cNvGraphicFramePr>
            <a:graphic>
              <a:graphicData uri="http://schemas.openxmlformats.org/drawingml/2006/picture">
                <pic:pic>
                  <pic:nvPicPr>
                    <pic:cNvPr id="0" name="phase1_usable_cohort.png"/>
                    <pic:cNvPicPr/>
                  </pic:nvPicPr>
                  <pic:blipFill>
                    <a:blip r:embed="rId9"/>
                    <a:stretch>
                      <a:fillRect/>
                    </a:stretch>
                  </pic:blipFill>
                  <pic:spPr>
                    <a:xfrm>
                      <a:off x="0" y="0"/>
                      <a:ext cx="4114800" cy="3176295"/>
                    </a:xfrm>
                    <a:prstGeom prst="rect"/>
                  </pic:spPr>
                </pic:pic>
              </a:graphicData>
            </a:graphic>
          </wp:inline>
        </w:drawing>
      </w:r>
    </w:p>
    <w:p>
      <w:pPr>
        <w:spacing w:after="240"/>
        <w:jc w:val="center"/>
      </w:pPr>
      <w:r>
        <w:rPr>
          <w:i/>
          <w:sz w:val="19"/>
        </w:rPr>
        <w:t>Figure 1: Usable Dataset Cohort distribution by FDA DICTrank concern class.</w:t>
      </w:r>
    </w:p>
    <w:p>
      <w:pPr>
        <w:spacing w:before="360" w:after="120"/>
      </w:pPr>
      <w:r>
        <w:rPr>
          <w:b/>
          <w:sz w:val="26"/>
        </w:rPr>
        <w:t>2. Leakage-Free Dataset Splits</w:t>
      </w:r>
    </w:p>
    <w:p>
      <w:pPr>
        <w:spacing w:after="240"/>
      </w:pPr>
      <w:r>
        <w:t>To prevent target leakage and ensure realistic validation generalizability, we implemented two separate stratified splitting schemes. In both schemes, splits are frozen at a 70 / 15 / 15 ratio. For scaffold splits, whole carbon scaffold clusters are assigned to the held-out test set until at least 15% of unique compounds are covered.</w:t>
      </w:r>
    </w:p>
    <w:p>
      <w:pPr>
        <w:spacing w:before="160" w:after="120"/>
      </w:pPr>
      <w:r>
        <w:rPr>
          <w:b/>
          <w:i/>
          <w:sz w:val="23"/>
        </w:rPr>
        <w:t>A. Drug-Level Splits (Stratified)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1A2E"/>
            <w:tcMar>
              <w:top w:w="120" w:type="dxa"/>
              <w:bottom w:w="120" w:type="dxa"/>
              <w:left w:w="150" w:type="dxa"/>
              <w:right w:w="150" w:type="dxa"/>
            </w:tcMar>
          </w:tcPr>
          <w:p>
            <w:pPr>
              <w:jc w:val="left"/>
            </w:pPr>
            <w:r>
              <w:rPr>
                <w:rFonts w:ascii="Arial" w:hAnsi="Arial"/>
                <w:b/>
                <w:color w:val="FFFFFF"/>
                <w:sz w:val="19"/>
              </w:rPr>
              <w:t>Partition</w:t>
            </w:r>
          </w:p>
        </w:tc>
        <w:tc>
          <w:tcPr>
            <w:tcW w:type="dxa" w:w="1872"/>
            <w:shd w:fill="1A1A2E"/>
            <w:tcMar>
              <w:top w:w="120" w:type="dxa"/>
              <w:bottom w:w="120" w:type="dxa"/>
              <w:left w:w="150" w:type="dxa"/>
              <w:right w:w="150" w:type="dxa"/>
            </w:tcMar>
          </w:tcPr>
          <w:p>
            <w:pPr>
              <w:jc w:val="left"/>
            </w:pPr>
            <w:r>
              <w:rPr>
                <w:rFonts w:ascii="Arial" w:hAnsi="Arial"/>
                <w:b/>
                <w:color w:val="FFFFFF"/>
                <w:sz w:val="19"/>
              </w:rPr>
              <w:t>Compound Count</w:t>
            </w:r>
          </w:p>
        </w:tc>
        <w:tc>
          <w:tcPr>
            <w:tcW w:type="dxa" w:w="1872"/>
            <w:shd w:fill="1A1A2E"/>
            <w:tcMar>
              <w:top w:w="120" w:type="dxa"/>
              <w:bottom w:w="120" w:type="dxa"/>
              <w:left w:w="150" w:type="dxa"/>
              <w:right w:w="150" w:type="dxa"/>
            </w:tcMar>
          </w:tcPr>
          <w:p>
            <w:pPr>
              <w:jc w:val="left"/>
            </w:pPr>
            <w:r>
              <w:rPr>
                <w:rFonts w:ascii="Arial" w:hAnsi="Arial"/>
                <w:b/>
                <w:color w:val="FFFFFF"/>
                <w:sz w:val="19"/>
              </w:rPr>
              <w:t>Positive (Tox) Count</w:t>
            </w:r>
          </w:p>
        </w:tc>
        <w:tc>
          <w:tcPr>
            <w:tcW w:type="dxa" w:w="1872"/>
            <w:shd w:fill="1A1A2E"/>
            <w:tcMar>
              <w:top w:w="120" w:type="dxa"/>
              <w:bottom w:w="120" w:type="dxa"/>
              <w:left w:w="150" w:type="dxa"/>
              <w:right w:w="150" w:type="dxa"/>
            </w:tcMar>
          </w:tcPr>
          <w:p>
            <w:pPr>
              <w:jc w:val="left"/>
            </w:pPr>
            <w:r>
              <w:rPr>
                <w:rFonts w:ascii="Arial" w:hAnsi="Arial"/>
                <w:b/>
                <w:color w:val="FFFFFF"/>
                <w:sz w:val="19"/>
              </w:rPr>
              <w:t>Negative (Safe) Count</w:t>
            </w:r>
          </w:p>
        </w:tc>
        <w:tc>
          <w:tcPr>
            <w:tcW w:type="dxa" w:w="1584"/>
            <w:shd w:fill="1A1A2E"/>
            <w:tcMar>
              <w:top w:w="120" w:type="dxa"/>
              <w:bottom w:w="120" w:type="dxa"/>
              <w:left w:w="150" w:type="dxa"/>
              <w:right w:w="150" w:type="dxa"/>
            </w:tcMar>
          </w:tcPr>
          <w:p>
            <w:pPr>
              <w:jc w:val="left"/>
            </w:pPr>
            <w:r>
              <w:rPr>
                <w:rFonts w:ascii="Arial" w:hAnsi="Arial"/>
                <w:b/>
                <w:color w:val="FFFFFF"/>
                <w:sz w:val="19"/>
              </w:rPr>
              <w:t>Positive Rate</w:t>
            </w:r>
          </w:p>
        </w:tc>
      </w:tr>
      <w:tr>
        <w:tc>
          <w:tcPr>
            <w:tcW w:type="dxa" w:w="2160"/>
            <w:shd w:fill="FFFFFF"/>
            <w:tcMar>
              <w:top w:w="100" w:type="dxa"/>
              <w:bottom w:w="100" w:type="dxa"/>
              <w:left w:w="150" w:type="dxa"/>
              <w:right w:w="150" w:type="dxa"/>
            </w:tcMar>
          </w:tcPr>
          <w:p>
            <w:pPr>
              <w:jc w:val="left"/>
            </w:pPr>
            <w:r>
              <w:rPr>
                <w:rFonts w:ascii="Arial" w:hAnsi="Arial"/>
                <w:sz w:val="19"/>
              </w:rPr>
              <w:t>Train</w:t>
            </w:r>
          </w:p>
        </w:tc>
        <w:tc>
          <w:tcPr>
            <w:tcW w:type="dxa" w:w="1872"/>
            <w:shd w:fill="FFFFFF"/>
            <w:tcMar>
              <w:top w:w="100" w:type="dxa"/>
              <w:bottom w:w="100" w:type="dxa"/>
              <w:left w:w="150" w:type="dxa"/>
              <w:right w:w="150" w:type="dxa"/>
            </w:tcMar>
          </w:tcPr>
          <w:p>
            <w:pPr>
              <w:jc w:val="left"/>
            </w:pPr>
            <w:r>
              <w:rPr>
                <w:rFonts w:ascii="Arial" w:hAnsi="Arial"/>
                <w:sz w:val="19"/>
              </w:rPr>
              <w:t>393</w:t>
            </w:r>
          </w:p>
        </w:tc>
        <w:tc>
          <w:tcPr>
            <w:tcW w:type="dxa" w:w="1872"/>
            <w:shd w:fill="FFFFFF"/>
            <w:tcMar>
              <w:top w:w="100" w:type="dxa"/>
              <w:bottom w:w="100" w:type="dxa"/>
              <w:left w:w="150" w:type="dxa"/>
              <w:right w:w="150" w:type="dxa"/>
            </w:tcMar>
          </w:tcPr>
          <w:p>
            <w:pPr>
              <w:jc w:val="left"/>
            </w:pPr>
            <w:r>
              <w:rPr>
                <w:rFonts w:ascii="Arial" w:hAnsi="Arial"/>
                <w:sz w:val="19"/>
              </w:rPr>
              <w:t>311</w:t>
            </w:r>
          </w:p>
        </w:tc>
        <w:tc>
          <w:tcPr>
            <w:tcW w:type="dxa" w:w="1872"/>
            <w:shd w:fill="FFFFFF"/>
            <w:tcMar>
              <w:top w:w="100" w:type="dxa"/>
              <w:bottom w:w="100" w:type="dxa"/>
              <w:left w:w="150" w:type="dxa"/>
              <w:right w:w="150" w:type="dxa"/>
            </w:tcMar>
          </w:tcPr>
          <w:p>
            <w:pPr>
              <w:jc w:val="left"/>
            </w:pPr>
            <w:r>
              <w:rPr>
                <w:rFonts w:ascii="Arial" w:hAnsi="Arial"/>
                <w:sz w:val="19"/>
              </w:rPr>
              <w:t>82</w:t>
            </w:r>
          </w:p>
        </w:tc>
        <w:tc>
          <w:tcPr>
            <w:tcW w:type="dxa" w:w="1584"/>
            <w:shd w:fill="FFFFFF"/>
            <w:tcMar>
              <w:top w:w="100" w:type="dxa"/>
              <w:bottom w:w="100" w:type="dxa"/>
              <w:left w:w="150" w:type="dxa"/>
              <w:right w:w="150" w:type="dxa"/>
            </w:tcMar>
          </w:tcPr>
          <w:p>
            <w:pPr>
              <w:jc w:val="left"/>
            </w:pPr>
            <w:r>
              <w:rPr>
                <w:rFonts w:ascii="Arial" w:hAnsi="Arial"/>
                <w:sz w:val="19"/>
              </w:rPr>
              <w:t>79.1%</w:t>
            </w:r>
          </w:p>
        </w:tc>
      </w:tr>
      <w:tr>
        <w:tc>
          <w:tcPr>
            <w:tcW w:type="dxa" w:w="2160"/>
            <w:shd w:fill="F9F9F9"/>
            <w:tcMar>
              <w:top w:w="100" w:type="dxa"/>
              <w:bottom w:w="100" w:type="dxa"/>
              <w:left w:w="150" w:type="dxa"/>
              <w:right w:w="150" w:type="dxa"/>
            </w:tcMar>
          </w:tcPr>
          <w:p>
            <w:pPr>
              <w:jc w:val="left"/>
            </w:pPr>
            <w:r>
              <w:rPr>
                <w:rFonts w:ascii="Arial" w:hAnsi="Arial"/>
                <w:sz w:val="19"/>
              </w:rPr>
              <w:t>Validation</w:t>
            </w:r>
          </w:p>
        </w:tc>
        <w:tc>
          <w:tcPr>
            <w:tcW w:type="dxa" w:w="1872"/>
            <w:shd w:fill="F9F9F9"/>
            <w:tcMar>
              <w:top w:w="100" w:type="dxa"/>
              <w:bottom w:w="100" w:type="dxa"/>
              <w:left w:w="150" w:type="dxa"/>
              <w:right w:w="150" w:type="dxa"/>
            </w:tcMar>
          </w:tcPr>
          <w:p>
            <w:pPr>
              <w:jc w:val="left"/>
            </w:pPr>
            <w:r>
              <w:rPr>
                <w:rFonts w:ascii="Arial" w:hAnsi="Arial"/>
                <w:sz w:val="19"/>
              </w:rPr>
              <w:t>84</w:t>
            </w:r>
          </w:p>
        </w:tc>
        <w:tc>
          <w:tcPr>
            <w:tcW w:type="dxa" w:w="1872"/>
            <w:shd w:fill="F9F9F9"/>
            <w:tcMar>
              <w:top w:w="100" w:type="dxa"/>
              <w:bottom w:w="100" w:type="dxa"/>
              <w:left w:w="150" w:type="dxa"/>
              <w:right w:w="150" w:type="dxa"/>
            </w:tcMar>
          </w:tcPr>
          <w:p>
            <w:pPr>
              <w:jc w:val="left"/>
            </w:pPr>
            <w:r>
              <w:rPr>
                <w:rFonts w:ascii="Arial" w:hAnsi="Arial"/>
                <w:sz w:val="19"/>
              </w:rPr>
              <w:t>67</w:t>
            </w:r>
          </w:p>
        </w:tc>
        <w:tc>
          <w:tcPr>
            <w:tcW w:type="dxa" w:w="1872"/>
            <w:shd w:fill="F9F9F9"/>
            <w:tcMar>
              <w:top w:w="100" w:type="dxa"/>
              <w:bottom w:w="100" w:type="dxa"/>
              <w:left w:w="150" w:type="dxa"/>
              <w:right w:w="150" w:type="dxa"/>
            </w:tcMar>
          </w:tcPr>
          <w:p>
            <w:pPr>
              <w:jc w:val="left"/>
            </w:pPr>
            <w:r>
              <w:rPr>
                <w:rFonts w:ascii="Arial" w:hAnsi="Arial"/>
                <w:sz w:val="19"/>
              </w:rPr>
              <w:t>17</w:t>
            </w:r>
          </w:p>
        </w:tc>
        <w:tc>
          <w:tcPr>
            <w:tcW w:type="dxa" w:w="1584"/>
            <w:shd w:fill="F9F9F9"/>
            <w:tcMar>
              <w:top w:w="100" w:type="dxa"/>
              <w:bottom w:w="100" w:type="dxa"/>
              <w:left w:w="150" w:type="dxa"/>
              <w:right w:w="150" w:type="dxa"/>
            </w:tcMar>
          </w:tcPr>
          <w:p>
            <w:pPr>
              <w:jc w:val="left"/>
            </w:pPr>
            <w:r>
              <w:rPr>
                <w:rFonts w:ascii="Arial" w:hAnsi="Arial"/>
                <w:sz w:val="19"/>
              </w:rPr>
              <w:t>79.8%</w:t>
            </w:r>
          </w:p>
        </w:tc>
      </w:tr>
      <w:tr>
        <w:tc>
          <w:tcPr>
            <w:tcW w:type="dxa" w:w="2160"/>
            <w:shd w:fill="FFFFFF"/>
            <w:tcMar>
              <w:top w:w="100" w:type="dxa"/>
              <w:bottom w:w="100" w:type="dxa"/>
              <w:left w:w="150" w:type="dxa"/>
              <w:right w:w="150" w:type="dxa"/>
            </w:tcMar>
          </w:tcPr>
          <w:p>
            <w:pPr>
              <w:jc w:val="left"/>
            </w:pPr>
            <w:r>
              <w:rPr>
                <w:rFonts w:ascii="Arial" w:hAnsi="Arial"/>
                <w:sz w:val="19"/>
              </w:rPr>
              <w:t>Test</w:t>
            </w:r>
          </w:p>
        </w:tc>
        <w:tc>
          <w:tcPr>
            <w:tcW w:type="dxa" w:w="1872"/>
            <w:shd w:fill="FFFFFF"/>
            <w:tcMar>
              <w:top w:w="100" w:type="dxa"/>
              <w:bottom w:w="100" w:type="dxa"/>
              <w:left w:w="150" w:type="dxa"/>
              <w:right w:w="150" w:type="dxa"/>
            </w:tcMar>
          </w:tcPr>
          <w:p>
            <w:pPr>
              <w:jc w:val="left"/>
            </w:pPr>
            <w:r>
              <w:rPr>
                <w:rFonts w:ascii="Arial" w:hAnsi="Arial"/>
                <w:sz w:val="19"/>
              </w:rPr>
              <w:t>85</w:t>
            </w:r>
          </w:p>
        </w:tc>
        <w:tc>
          <w:tcPr>
            <w:tcW w:type="dxa" w:w="1872"/>
            <w:shd w:fill="FFFFFF"/>
            <w:tcMar>
              <w:top w:w="100" w:type="dxa"/>
              <w:bottom w:w="100" w:type="dxa"/>
              <w:left w:w="150" w:type="dxa"/>
              <w:right w:w="150" w:type="dxa"/>
            </w:tcMar>
          </w:tcPr>
          <w:p>
            <w:pPr>
              <w:jc w:val="left"/>
            </w:pPr>
            <w:r>
              <w:rPr>
                <w:rFonts w:ascii="Arial" w:hAnsi="Arial"/>
                <w:sz w:val="19"/>
              </w:rPr>
              <w:t>67</w:t>
            </w:r>
          </w:p>
        </w:tc>
        <w:tc>
          <w:tcPr>
            <w:tcW w:type="dxa" w:w="1872"/>
            <w:shd w:fill="FFFFFF"/>
            <w:tcMar>
              <w:top w:w="100" w:type="dxa"/>
              <w:bottom w:w="100" w:type="dxa"/>
              <w:left w:w="150" w:type="dxa"/>
              <w:right w:w="150" w:type="dxa"/>
            </w:tcMar>
          </w:tcPr>
          <w:p>
            <w:pPr>
              <w:jc w:val="left"/>
            </w:pPr>
            <w:r>
              <w:rPr>
                <w:rFonts w:ascii="Arial" w:hAnsi="Arial"/>
                <w:sz w:val="19"/>
              </w:rPr>
              <w:t>18</w:t>
            </w:r>
          </w:p>
        </w:tc>
        <w:tc>
          <w:tcPr>
            <w:tcW w:type="dxa" w:w="1584"/>
            <w:shd w:fill="FFFFFF"/>
            <w:tcMar>
              <w:top w:w="100" w:type="dxa"/>
              <w:bottom w:w="100" w:type="dxa"/>
              <w:left w:w="150" w:type="dxa"/>
              <w:right w:w="150" w:type="dxa"/>
            </w:tcMar>
          </w:tcPr>
          <w:p>
            <w:pPr>
              <w:jc w:val="left"/>
            </w:pPr>
            <w:r>
              <w:rPr>
                <w:rFonts w:ascii="Arial" w:hAnsi="Arial"/>
                <w:sz w:val="19"/>
              </w:rPr>
              <w:t>78.8%</w:t>
            </w:r>
          </w:p>
        </w:tc>
      </w:tr>
      <w:tr>
        <w:tc>
          <w:tcPr>
            <w:tcW w:type="dxa" w:w="2160"/>
            <w:shd w:fill="EAEAEA"/>
            <w:tcMar>
              <w:top w:w="100" w:type="dxa"/>
              <w:bottom w:w="100" w:type="dxa"/>
              <w:left w:w="150" w:type="dxa"/>
              <w:right w:w="150" w:type="dxa"/>
            </w:tcMar>
          </w:tcPr>
          <w:p>
            <w:pPr>
              <w:jc w:val="left"/>
            </w:pPr>
            <w:r>
              <w:rPr>
                <w:rFonts w:ascii="Arial" w:hAnsi="Arial"/>
                <w:b/>
                <w:sz w:val="19"/>
              </w:rPr>
              <w:t>Total Set</w:t>
            </w:r>
          </w:p>
        </w:tc>
        <w:tc>
          <w:tcPr>
            <w:tcW w:type="dxa" w:w="1872"/>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445</w:t>
            </w:r>
          </w:p>
        </w:tc>
        <w:tc>
          <w:tcPr>
            <w:tcW w:type="dxa" w:w="1872"/>
            <w:shd w:fill="EAEAEA"/>
            <w:tcMar>
              <w:top w:w="100" w:type="dxa"/>
              <w:bottom w:w="100" w:type="dxa"/>
              <w:left w:w="150" w:type="dxa"/>
              <w:right w:w="150" w:type="dxa"/>
            </w:tcMar>
          </w:tcPr>
          <w:p>
            <w:pPr>
              <w:jc w:val="left"/>
            </w:pPr>
            <w:r>
              <w:rPr>
                <w:rFonts w:ascii="Arial" w:hAnsi="Arial"/>
                <w:b/>
                <w:sz w:val="19"/>
              </w:rPr>
              <w:t>117</w:t>
            </w:r>
          </w:p>
        </w:tc>
        <w:tc>
          <w:tcPr>
            <w:tcW w:type="dxa" w:w="1584"/>
            <w:shd w:fill="EAEAEA"/>
            <w:tcMar>
              <w:top w:w="100" w:type="dxa"/>
              <w:bottom w:w="100" w:type="dxa"/>
              <w:left w:w="150" w:type="dxa"/>
              <w:right w:w="150" w:type="dxa"/>
            </w:tcMar>
          </w:tcPr>
          <w:p>
            <w:pPr>
              <w:jc w:val="left"/>
            </w:pPr>
            <w:r>
              <w:rPr>
                <w:rFonts w:ascii="Arial" w:hAnsi="Arial"/>
                <w:b/>
                <w:sz w:val="19"/>
              </w:rPr>
              <w:t>79.2%</w:t>
            </w:r>
          </w:p>
        </w:tc>
      </w:tr>
    </w:tbl>
    <w:p>
      <w:pPr>
        <w:spacing w:before="0" w:after="120"/>
      </w:pPr>
    </w:p>
    <w:p>
      <w:pPr>
        <w:spacing w:before="160" w:after="120"/>
      </w:pPr>
      <w:r>
        <w:rPr>
          <w:b/>
          <w:i/>
          <w:sz w:val="23"/>
        </w:rPr>
        <w:t>B. Bemis-Murcko Scaffold Splits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1A2E"/>
            <w:tcMar>
              <w:top w:w="120" w:type="dxa"/>
              <w:bottom w:w="120" w:type="dxa"/>
              <w:left w:w="150" w:type="dxa"/>
              <w:right w:w="150" w:type="dxa"/>
            </w:tcMar>
          </w:tcPr>
          <w:p>
            <w:pPr>
              <w:jc w:val="left"/>
            </w:pPr>
            <w:r>
              <w:rPr>
                <w:rFonts w:ascii="Arial" w:hAnsi="Arial"/>
                <w:b/>
                <w:color w:val="FFFFFF"/>
                <w:sz w:val="19"/>
              </w:rPr>
              <w:t>Partition</w:t>
            </w:r>
          </w:p>
        </w:tc>
        <w:tc>
          <w:tcPr>
            <w:tcW w:type="dxa" w:w="1872"/>
            <w:shd w:fill="1A1A2E"/>
            <w:tcMar>
              <w:top w:w="120" w:type="dxa"/>
              <w:bottom w:w="120" w:type="dxa"/>
              <w:left w:w="150" w:type="dxa"/>
              <w:right w:w="150" w:type="dxa"/>
            </w:tcMar>
          </w:tcPr>
          <w:p>
            <w:pPr>
              <w:jc w:val="left"/>
            </w:pPr>
            <w:r>
              <w:rPr>
                <w:rFonts w:ascii="Arial" w:hAnsi="Arial"/>
                <w:b/>
                <w:color w:val="FFFFFF"/>
                <w:sz w:val="19"/>
              </w:rPr>
              <w:t>Compound Count</w:t>
            </w:r>
          </w:p>
        </w:tc>
        <w:tc>
          <w:tcPr>
            <w:tcW w:type="dxa" w:w="1872"/>
            <w:shd w:fill="1A1A2E"/>
            <w:tcMar>
              <w:top w:w="120" w:type="dxa"/>
              <w:bottom w:w="120" w:type="dxa"/>
              <w:left w:w="150" w:type="dxa"/>
              <w:right w:w="150" w:type="dxa"/>
            </w:tcMar>
          </w:tcPr>
          <w:p>
            <w:pPr>
              <w:jc w:val="left"/>
            </w:pPr>
            <w:r>
              <w:rPr>
                <w:rFonts w:ascii="Arial" w:hAnsi="Arial"/>
                <w:b/>
                <w:color w:val="FFFFFF"/>
                <w:sz w:val="19"/>
              </w:rPr>
              <w:t>Positive (Tox) Count</w:t>
            </w:r>
          </w:p>
        </w:tc>
        <w:tc>
          <w:tcPr>
            <w:tcW w:type="dxa" w:w="1872"/>
            <w:shd w:fill="1A1A2E"/>
            <w:tcMar>
              <w:top w:w="120" w:type="dxa"/>
              <w:bottom w:w="120" w:type="dxa"/>
              <w:left w:w="150" w:type="dxa"/>
              <w:right w:w="150" w:type="dxa"/>
            </w:tcMar>
          </w:tcPr>
          <w:p>
            <w:pPr>
              <w:jc w:val="left"/>
            </w:pPr>
            <w:r>
              <w:rPr>
                <w:rFonts w:ascii="Arial" w:hAnsi="Arial"/>
                <w:b/>
                <w:color w:val="FFFFFF"/>
                <w:sz w:val="19"/>
              </w:rPr>
              <w:t>Negative (Safe) Count</w:t>
            </w:r>
          </w:p>
        </w:tc>
        <w:tc>
          <w:tcPr>
            <w:tcW w:type="dxa" w:w="1584"/>
            <w:shd w:fill="1A1A2E"/>
            <w:tcMar>
              <w:top w:w="120" w:type="dxa"/>
              <w:bottom w:w="120" w:type="dxa"/>
              <w:left w:w="150" w:type="dxa"/>
              <w:right w:w="150" w:type="dxa"/>
            </w:tcMar>
          </w:tcPr>
          <w:p>
            <w:pPr>
              <w:jc w:val="left"/>
            </w:pPr>
            <w:r>
              <w:rPr>
                <w:rFonts w:ascii="Arial" w:hAnsi="Arial"/>
                <w:b/>
                <w:color w:val="FFFFFF"/>
                <w:sz w:val="19"/>
              </w:rPr>
              <w:t>Positive Rate</w:t>
            </w:r>
          </w:p>
        </w:tc>
      </w:tr>
      <w:tr>
        <w:tc>
          <w:tcPr>
            <w:tcW w:type="dxa" w:w="2160"/>
            <w:shd w:fill="FFFFFF"/>
            <w:tcMar>
              <w:top w:w="100" w:type="dxa"/>
              <w:bottom w:w="100" w:type="dxa"/>
              <w:left w:w="150" w:type="dxa"/>
              <w:right w:w="150" w:type="dxa"/>
            </w:tcMar>
          </w:tcPr>
          <w:p>
            <w:pPr>
              <w:jc w:val="left"/>
            </w:pPr>
            <w:r>
              <w:rPr>
                <w:rFonts w:ascii="Arial" w:hAnsi="Arial"/>
                <w:sz w:val="19"/>
              </w:rPr>
              <w:t>Train</w:t>
            </w:r>
          </w:p>
        </w:tc>
        <w:tc>
          <w:tcPr>
            <w:tcW w:type="dxa" w:w="1872"/>
            <w:shd w:fill="FFFFFF"/>
            <w:tcMar>
              <w:top w:w="100" w:type="dxa"/>
              <w:bottom w:w="100" w:type="dxa"/>
              <w:left w:w="150" w:type="dxa"/>
              <w:right w:w="150" w:type="dxa"/>
            </w:tcMar>
          </w:tcPr>
          <w:p>
            <w:pPr>
              <w:jc w:val="left"/>
            </w:pPr>
            <w:r>
              <w:rPr>
                <w:rFonts w:ascii="Arial" w:hAnsi="Arial"/>
                <w:sz w:val="19"/>
              </w:rPr>
              <w:t>393</w:t>
            </w:r>
          </w:p>
        </w:tc>
        <w:tc>
          <w:tcPr>
            <w:tcW w:type="dxa" w:w="1872"/>
            <w:shd w:fill="FFFFFF"/>
            <w:tcMar>
              <w:top w:w="100" w:type="dxa"/>
              <w:bottom w:w="100" w:type="dxa"/>
              <w:left w:w="150" w:type="dxa"/>
              <w:right w:w="150" w:type="dxa"/>
            </w:tcMar>
          </w:tcPr>
          <w:p>
            <w:pPr>
              <w:jc w:val="left"/>
            </w:pPr>
            <w:r>
              <w:rPr>
                <w:rFonts w:ascii="Arial" w:hAnsi="Arial"/>
                <w:sz w:val="19"/>
              </w:rPr>
              <w:t>312</w:t>
            </w:r>
          </w:p>
        </w:tc>
        <w:tc>
          <w:tcPr>
            <w:tcW w:type="dxa" w:w="1872"/>
            <w:shd w:fill="FFFFFF"/>
            <w:tcMar>
              <w:top w:w="100" w:type="dxa"/>
              <w:bottom w:w="100" w:type="dxa"/>
              <w:left w:w="150" w:type="dxa"/>
              <w:right w:w="150" w:type="dxa"/>
            </w:tcMar>
          </w:tcPr>
          <w:p>
            <w:pPr>
              <w:jc w:val="left"/>
            </w:pPr>
            <w:r>
              <w:rPr>
                <w:rFonts w:ascii="Arial" w:hAnsi="Arial"/>
                <w:sz w:val="19"/>
              </w:rPr>
              <w:t>81</w:t>
            </w:r>
          </w:p>
        </w:tc>
        <w:tc>
          <w:tcPr>
            <w:tcW w:type="dxa" w:w="1584"/>
            <w:shd w:fill="FFFFFF"/>
            <w:tcMar>
              <w:top w:w="100" w:type="dxa"/>
              <w:bottom w:w="100" w:type="dxa"/>
              <w:left w:w="150" w:type="dxa"/>
              <w:right w:w="150" w:type="dxa"/>
            </w:tcMar>
          </w:tcPr>
          <w:p>
            <w:pPr>
              <w:jc w:val="left"/>
            </w:pPr>
            <w:r>
              <w:rPr>
                <w:rFonts w:ascii="Arial" w:hAnsi="Arial"/>
                <w:sz w:val="19"/>
              </w:rPr>
              <w:t>79.4%</w:t>
            </w:r>
          </w:p>
        </w:tc>
      </w:tr>
      <w:tr>
        <w:tc>
          <w:tcPr>
            <w:tcW w:type="dxa" w:w="2160"/>
            <w:shd w:fill="F9F9F9"/>
            <w:tcMar>
              <w:top w:w="100" w:type="dxa"/>
              <w:bottom w:w="100" w:type="dxa"/>
              <w:left w:w="150" w:type="dxa"/>
              <w:right w:w="150" w:type="dxa"/>
            </w:tcMar>
          </w:tcPr>
          <w:p>
            <w:pPr>
              <w:jc w:val="left"/>
            </w:pPr>
            <w:r>
              <w:rPr>
                <w:rFonts w:ascii="Arial" w:hAnsi="Arial"/>
                <w:sz w:val="19"/>
              </w:rPr>
              <w:t>Validation</w:t>
            </w:r>
          </w:p>
        </w:tc>
        <w:tc>
          <w:tcPr>
            <w:tcW w:type="dxa" w:w="1872"/>
            <w:shd w:fill="F9F9F9"/>
            <w:tcMar>
              <w:top w:w="100" w:type="dxa"/>
              <w:bottom w:w="100" w:type="dxa"/>
              <w:left w:w="150" w:type="dxa"/>
              <w:right w:w="150" w:type="dxa"/>
            </w:tcMar>
          </w:tcPr>
          <w:p>
            <w:pPr>
              <w:jc w:val="left"/>
            </w:pPr>
            <w:r>
              <w:rPr>
                <w:rFonts w:ascii="Arial" w:hAnsi="Arial"/>
                <w:sz w:val="19"/>
              </w:rPr>
              <w:t>84</w:t>
            </w:r>
          </w:p>
        </w:tc>
        <w:tc>
          <w:tcPr>
            <w:tcW w:type="dxa" w:w="1872"/>
            <w:shd w:fill="F9F9F9"/>
            <w:tcMar>
              <w:top w:w="100" w:type="dxa"/>
              <w:bottom w:w="100" w:type="dxa"/>
              <w:left w:w="150" w:type="dxa"/>
              <w:right w:w="150" w:type="dxa"/>
            </w:tcMar>
          </w:tcPr>
          <w:p>
            <w:pPr>
              <w:jc w:val="left"/>
            </w:pPr>
            <w:r>
              <w:rPr>
                <w:rFonts w:ascii="Arial" w:hAnsi="Arial"/>
                <w:sz w:val="19"/>
              </w:rPr>
              <w:t>63</w:t>
            </w:r>
          </w:p>
        </w:tc>
        <w:tc>
          <w:tcPr>
            <w:tcW w:type="dxa" w:w="1872"/>
            <w:shd w:fill="F9F9F9"/>
            <w:tcMar>
              <w:top w:w="100" w:type="dxa"/>
              <w:bottom w:w="100" w:type="dxa"/>
              <w:left w:w="150" w:type="dxa"/>
              <w:right w:w="150" w:type="dxa"/>
            </w:tcMar>
          </w:tcPr>
          <w:p>
            <w:pPr>
              <w:jc w:val="left"/>
            </w:pPr>
            <w:r>
              <w:rPr>
                <w:rFonts w:ascii="Arial" w:hAnsi="Arial"/>
                <w:sz w:val="19"/>
              </w:rPr>
              <w:t>21</w:t>
            </w:r>
          </w:p>
        </w:tc>
        <w:tc>
          <w:tcPr>
            <w:tcW w:type="dxa" w:w="1584"/>
            <w:shd w:fill="F9F9F9"/>
            <w:tcMar>
              <w:top w:w="100" w:type="dxa"/>
              <w:bottom w:w="100" w:type="dxa"/>
              <w:left w:w="150" w:type="dxa"/>
              <w:right w:w="150" w:type="dxa"/>
            </w:tcMar>
          </w:tcPr>
          <w:p>
            <w:pPr>
              <w:jc w:val="left"/>
            </w:pPr>
            <w:r>
              <w:rPr>
                <w:rFonts w:ascii="Arial" w:hAnsi="Arial"/>
                <w:sz w:val="19"/>
              </w:rPr>
              <w:t>75.0%</w:t>
            </w:r>
          </w:p>
        </w:tc>
      </w:tr>
      <w:tr>
        <w:tc>
          <w:tcPr>
            <w:tcW w:type="dxa" w:w="2160"/>
            <w:shd w:fill="FFFFFF"/>
            <w:tcMar>
              <w:top w:w="100" w:type="dxa"/>
              <w:bottom w:w="100" w:type="dxa"/>
              <w:left w:w="150" w:type="dxa"/>
              <w:right w:w="150" w:type="dxa"/>
            </w:tcMar>
          </w:tcPr>
          <w:p>
            <w:pPr>
              <w:jc w:val="left"/>
            </w:pPr>
            <w:r>
              <w:rPr>
                <w:rFonts w:ascii="Arial" w:hAnsi="Arial"/>
                <w:sz w:val="19"/>
              </w:rPr>
              <w:t>Test</w:t>
            </w:r>
          </w:p>
        </w:tc>
        <w:tc>
          <w:tcPr>
            <w:tcW w:type="dxa" w:w="1872"/>
            <w:shd w:fill="FFFFFF"/>
            <w:tcMar>
              <w:top w:w="100" w:type="dxa"/>
              <w:bottom w:w="100" w:type="dxa"/>
              <w:left w:w="150" w:type="dxa"/>
              <w:right w:w="150" w:type="dxa"/>
            </w:tcMar>
          </w:tcPr>
          <w:p>
            <w:pPr>
              <w:jc w:val="left"/>
            </w:pPr>
            <w:r>
              <w:rPr>
                <w:rFonts w:ascii="Arial" w:hAnsi="Arial"/>
                <w:sz w:val="19"/>
              </w:rPr>
              <w:t>85</w:t>
            </w:r>
          </w:p>
        </w:tc>
        <w:tc>
          <w:tcPr>
            <w:tcW w:type="dxa" w:w="1872"/>
            <w:shd w:fill="FFFFFF"/>
            <w:tcMar>
              <w:top w:w="100" w:type="dxa"/>
              <w:bottom w:w="100" w:type="dxa"/>
              <w:left w:w="150" w:type="dxa"/>
              <w:right w:w="150" w:type="dxa"/>
            </w:tcMar>
          </w:tcPr>
          <w:p>
            <w:pPr>
              <w:jc w:val="left"/>
            </w:pPr>
            <w:r>
              <w:rPr>
                <w:rFonts w:ascii="Arial" w:hAnsi="Arial"/>
                <w:sz w:val="19"/>
              </w:rPr>
              <w:t>70</w:t>
            </w:r>
          </w:p>
        </w:tc>
        <w:tc>
          <w:tcPr>
            <w:tcW w:type="dxa" w:w="1872"/>
            <w:shd w:fill="FFFFFF"/>
            <w:tcMar>
              <w:top w:w="100" w:type="dxa"/>
              <w:bottom w:w="100" w:type="dxa"/>
              <w:left w:w="150" w:type="dxa"/>
              <w:right w:w="150" w:type="dxa"/>
            </w:tcMar>
          </w:tcPr>
          <w:p>
            <w:pPr>
              <w:jc w:val="left"/>
            </w:pPr>
            <w:r>
              <w:rPr>
                <w:rFonts w:ascii="Arial" w:hAnsi="Arial"/>
                <w:sz w:val="19"/>
              </w:rPr>
              <w:t>15</w:t>
            </w:r>
          </w:p>
        </w:tc>
        <w:tc>
          <w:tcPr>
            <w:tcW w:type="dxa" w:w="1584"/>
            <w:shd w:fill="FFFFFF"/>
            <w:tcMar>
              <w:top w:w="100" w:type="dxa"/>
              <w:bottom w:w="100" w:type="dxa"/>
              <w:left w:w="150" w:type="dxa"/>
              <w:right w:w="150" w:type="dxa"/>
            </w:tcMar>
          </w:tcPr>
          <w:p>
            <w:pPr>
              <w:jc w:val="left"/>
            </w:pPr>
            <w:r>
              <w:rPr>
                <w:rFonts w:ascii="Arial" w:hAnsi="Arial"/>
                <w:sz w:val="19"/>
              </w:rPr>
              <w:t>82.4%</w:t>
            </w:r>
          </w:p>
        </w:tc>
      </w:tr>
      <w:tr>
        <w:tc>
          <w:tcPr>
            <w:tcW w:type="dxa" w:w="2160"/>
            <w:shd w:fill="EAEAEA"/>
            <w:tcMar>
              <w:top w:w="100" w:type="dxa"/>
              <w:bottom w:w="100" w:type="dxa"/>
              <w:left w:w="150" w:type="dxa"/>
              <w:right w:w="150" w:type="dxa"/>
            </w:tcMar>
          </w:tcPr>
          <w:p>
            <w:pPr>
              <w:jc w:val="left"/>
            </w:pPr>
            <w:r>
              <w:rPr>
                <w:rFonts w:ascii="Arial" w:hAnsi="Arial"/>
                <w:b/>
                <w:sz w:val="19"/>
              </w:rPr>
              <w:t>Total Set</w:t>
            </w:r>
          </w:p>
        </w:tc>
        <w:tc>
          <w:tcPr>
            <w:tcW w:type="dxa" w:w="1872"/>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445</w:t>
            </w:r>
          </w:p>
        </w:tc>
        <w:tc>
          <w:tcPr>
            <w:tcW w:type="dxa" w:w="1872"/>
            <w:shd w:fill="EAEAEA"/>
            <w:tcMar>
              <w:top w:w="100" w:type="dxa"/>
              <w:bottom w:w="100" w:type="dxa"/>
              <w:left w:w="150" w:type="dxa"/>
              <w:right w:w="150" w:type="dxa"/>
            </w:tcMar>
          </w:tcPr>
          <w:p>
            <w:pPr>
              <w:jc w:val="left"/>
            </w:pPr>
            <w:r>
              <w:rPr>
                <w:rFonts w:ascii="Arial" w:hAnsi="Arial"/>
                <w:b/>
                <w:sz w:val="19"/>
              </w:rPr>
              <w:t>117</w:t>
            </w:r>
          </w:p>
        </w:tc>
        <w:tc>
          <w:tcPr>
            <w:tcW w:type="dxa" w:w="1584"/>
            <w:shd w:fill="EAEAEA"/>
            <w:tcMar>
              <w:top w:w="100" w:type="dxa"/>
              <w:bottom w:w="100" w:type="dxa"/>
              <w:left w:w="150" w:type="dxa"/>
              <w:right w:w="150" w:type="dxa"/>
            </w:tcMar>
          </w:tcPr>
          <w:p>
            <w:pPr>
              <w:jc w:val="left"/>
            </w:pPr>
            <w:r>
              <w:rPr>
                <w:rFonts w:ascii="Arial" w:hAnsi="Arial"/>
                <w:b/>
                <w:sz w:val="19"/>
              </w:rPr>
              <w:t>79.2%</w:t>
            </w:r>
          </w:p>
        </w:tc>
      </w:tr>
    </w:tbl>
    <w:p>
      <w:pPr>
        <w:spacing w:before="0" w:after="120"/>
      </w:pPr>
    </w:p>
    <w:p>
      <w:pPr>
        <w:spacing w:before="120" w:after="60"/>
      </w:pPr>
      <w:r>
        <w:rPr>
          <w:b/>
          <w:sz w:val="20"/>
        </w:rPr>
        <w:t>Jupyter Notebook Splits Partition Verification Log:</w:t>
      </w:r>
    </w:p>
    <w:tbl>
      <w:tblPr>
        <w:tblW w:type="auto" w:w="0"/>
        <w:jc w:val="center"/>
        <w:tblLook w:firstColumn="1" w:firstRow="1" w:lastColumn="0" w:lastRow="0" w:noHBand="0" w:noVBand="1" w:val="04A0"/>
      </w:tblPr>
      <w:tblGrid>
        <w:gridCol w:w="9360"/>
      </w:tblGrid>
      <w:tr>
        <w:tc>
          <w:tcPr>
            <w:tcW w:type="dxa" w:w="8352"/>
            <w:shd w:fill="F5F5F7"/>
            <w:tcMar>
              <w:top w:w="80" w:type="dxa"/>
              <w:bottom w:w="80" w:type="dxa"/>
              <w:left w:w="120" w:type="dxa"/>
              <w:right w:w="120" w:type="dxa"/>
            </w:tcMar>
          </w:tcPr>
          <w:p>
            <w:pPr>
              <w:spacing w:line="276" w:lineRule="auto" w:after="0"/>
            </w:pPr>
            <w:r>
              <w:rPr>
                <w:rFonts w:ascii="Courier New" w:hAnsi="Courier New"/>
                <w:color w:val="1E1E1E"/>
                <w:sz w:val="17"/>
              </w:rPr>
              <w:t>In [5]: # Generate and verify splits</w:t>
              <w:br/>
              <w:t>Drug-level partitions:</w:t>
              <w:br/>
              <w:t xml:space="preserve">  train   : 393 compounds (pos rate: 79.1%)</w:t>
              <w:br/>
              <w:t xml:space="preserve">  test    : 85 compounds (pos rate: 78.8%)</w:t>
              <w:br/>
              <w:t xml:space="preserve">  val     : 84 compounds (pos rate: 79.8%)</w:t>
              <w:br/>
              <w:br/>
              <w:t>Scaffold-level partitions:</w:t>
              <w:br/>
              <w:t xml:space="preserve">  train   : 393 compounds (pos rate: 79.4%)</w:t>
              <w:br/>
              <w:t xml:space="preserve">  test    : 85 compounds (pos rate: 82.4%)</w:t>
              <w:br/>
              <w:t xml:space="preserve">  val     : 84 compounds (pos rate: 75.0%)</w:t>
            </w:r>
          </w:p>
        </w:tc>
      </w:tr>
    </w:tbl>
    <w:p>
      <w:pPr>
        <w:spacing w:after="240"/>
      </w:pPr>
    </w:p>
    <w:p>
      <w:pPr>
        <w:spacing w:after="360"/>
        <w:jc w:val="center"/>
      </w:pPr>
      <w:r>
        <w:drawing>
          <wp:inline xmlns:a="http://schemas.openxmlformats.org/drawingml/2006/main" xmlns:pic="http://schemas.openxmlformats.org/drawingml/2006/picture">
            <wp:extent cx="4114800" cy="2803559"/>
            <wp:docPr id="2" name="Picture 2"/>
            <wp:cNvGraphicFramePr>
              <a:graphicFrameLocks noChangeAspect="1"/>
            </wp:cNvGraphicFramePr>
            <a:graphic>
              <a:graphicData uri="http://schemas.openxmlformats.org/drawingml/2006/picture">
                <pic:pic>
                  <pic:nvPicPr>
                    <pic:cNvPr id="0" name="phase1_splits_distribution.png"/>
                    <pic:cNvPicPr/>
                  </pic:nvPicPr>
                  <pic:blipFill>
                    <a:blip r:embed="rId10"/>
                    <a:stretch>
                      <a:fillRect/>
                    </a:stretch>
                  </pic:blipFill>
                  <pic:spPr>
                    <a:xfrm>
                      <a:off x="0" y="0"/>
                      <a:ext cx="4114800" cy="2803559"/>
                    </a:xfrm>
                    <a:prstGeom prst="rect"/>
                  </pic:spPr>
                </pic:pic>
              </a:graphicData>
            </a:graphic>
          </wp:inline>
        </w:drawing>
      </w:r>
    </w:p>
    <w:p>
      <w:pPr>
        <w:spacing w:after="240"/>
        <w:jc w:val="center"/>
      </w:pPr>
      <w:r>
        <w:rPr>
          <w:i/>
          <w:sz w:val="19"/>
        </w:rPr>
        <w:t>Figure 2: Target partition sizes and positive rates across drug-level and scaffold splits.</w:t>
      </w:r>
    </w:p>
    <w:p>
      <w:pPr>
        <w:spacing w:before="360" w:after="120"/>
      </w:pPr>
      <w:r>
        <w:rPr>
          <w:b/>
          <w:sz w:val="26"/>
        </w:rPr>
        <w:t>3. Methodology, Signature Aggregation, and Model Isolation</w:t>
      </w:r>
    </w:p>
    <w:p>
      <w:pPr>
        <w:spacing w:after="120"/>
      </w:pPr>
      <w:r>
        <w:t>To ensure mathematical rigor and prevent data leakage or validation contamination, we have defined explicit constraints for the dataset preprocessing and modeling phases:</w:t>
      </w:r>
    </w:p>
    <w:p>
      <w:pPr>
        <w:pStyle w:val="ListBullet"/>
        <w:spacing w:after="80"/>
      </w:pPr>
      <w:r>
        <w:rPr>
          <w:b/>
          <w:sz w:val="22"/>
        </w:rPr>
        <w:t xml:space="preserve">L1000 Signature Aggregation Rule: </w:t>
      </w:r>
      <w:r>
        <w:rPr>
          <w:sz w:val="22"/>
        </w:rPr>
        <w:t>A single drug may have multiple replicate signatures measured across different cell lines, doses, and time points in LINCS L1000. To handle this, we restrict our selection to Level-5 signatures (COMPZ z-scores) in the HA1E cell line. For any drug with multiple replicate signatures matching 10.0 µM dose and 24 h exposure, we mean-aggregate the z-score vectors into a single, consolidated 978-dimensional transcriptomic representation per drug.</w:t>
      </w:r>
    </w:p>
    <w:p>
      <w:pPr>
        <w:pStyle w:val="ListBullet"/>
        <w:spacing w:after="80"/>
      </w:pPr>
      <w:r>
        <w:rPr>
          <w:b/>
          <w:sz w:val="22"/>
        </w:rPr>
        <w:t xml:space="preserve">Independent Model Isolation (No Fusion): </w:t>
      </w:r>
      <w:r>
        <w:rPr>
          <w:sz w:val="22"/>
        </w:rPr>
        <w:t>To ensure an honest comparison of structure vs. biological perturbation signals without contamination risk, we evaluate the GNN (structure-only) and the Transformer (biology-only) models as completely independent architectures. No cross-attention or concatenation fusion is performed. The structural GNN operates on molecular graphs, while the biological Transformer operates on experimental L1000 signatures.</w:t>
      </w:r>
    </w:p>
    <w:p>
      <w:pPr>
        <w:pStyle w:val="ListBullet"/>
        <w:spacing w:after="80"/>
      </w:pPr>
      <w:r>
        <w:rPr>
          <w:b/>
          <w:sz w:val="22"/>
        </w:rPr>
        <w:t xml:space="preserve">Fair Comparison Across Population Sizes: </w:t>
      </w:r>
      <w:r>
        <w:rPr>
          <w:sz w:val="22"/>
        </w:rPr>
        <w:t>Because the Transformer can only evaluate compounds with experimental L1000 signatures while the GNN can run on the full DICTrank set, we report GNN performance on both (a) the full DICTrank dataset and (b) the L1000-matched subset alone. This guarantees a head-to-head comparison on identical compounds as well as at full scale.</w:t>
      </w:r>
    </w:p>
    <w:p>
      <w:pPr>
        <w:spacing w:before="360" w:after="120"/>
      </w:pPr>
      <w:r>
        <w:rPr>
          <w:b/>
          <w:sz w:val="26"/>
        </w:rPr>
        <w:t>4. Project Discussion: Model Comparison, Leakage, and Academic Novelty</w:t>
      </w:r>
    </w:p>
    <w:p>
      <w:pPr>
        <w:spacing w:after="120"/>
      </w:pPr>
      <w:r>
        <w:t>A central question of this research is comparing the predictive performance of a purely structure-based model (GNN) against a purely transcriptomics-based model (Transformer) on clinical cardiotoxicity labels. Based on the dataset properties and structural alerts, we present the following analysis and academic novelty strategy:</w:t>
      </w:r>
    </w:p>
    <w:p>
      <w:pPr>
        <w:pStyle w:val="ListBullet"/>
        <w:spacing w:after="80"/>
      </w:pPr>
      <w:r>
        <w:rPr>
          <w:b/>
          <w:sz w:val="22"/>
        </w:rPr>
        <w:t xml:space="preserve">DICTrank vs. hERG Channel Blockade: </w:t>
      </w:r>
      <w:r>
        <w:rPr>
          <w:sz w:val="22"/>
        </w:rPr>
        <w:t>We clarify that DICTrank represents general cardiotoxicity concern classes, not just hERG channel blockade. While hERG blockade is the primary physical mechanism of cardiotoxicity, DICTrank encompasses other forms of toxicities. Therefore, our model is trained to predict general cardiotoxicity (DICTrank classes), and hERG blockade is discussed as the principal mechanistic subclass, rather than being claimed as a direct prediction target.</w:t>
      </w:r>
    </w:p>
    <w:p>
      <w:pPr>
        <w:pStyle w:val="ListBullet"/>
        <w:spacing w:after="80"/>
      </w:pPr>
      <w:r>
        <w:rPr>
          <w:b/>
          <w:sz w:val="22"/>
        </w:rPr>
        <w:t xml:space="preserve">Bemis-Murcko Scaffold Splits as Primary Novelty: </w:t>
      </w:r>
      <w:r>
        <w:rPr>
          <w:sz w:val="22"/>
        </w:rPr>
        <w:t>Prior publications (e.g. Seal et al.) evaluated models using standard random or stratified splits. This project introduces Bemis-Murcko scaffold splits on DICTrank, assigning whole scaffold clusters to the test set until at least 15% of unique drugs are held out. This evaluation directly quantifies how much cardiotoxicity prediction is due to chemical-series memorization versus out-of-distribution generalizability. This scaffold-split analysis constitutes our primary publishable novelty.</w:t>
      </w:r>
    </w:p>
    <w:p>
      <w:pPr>
        <w:pStyle w:val="ListBullet"/>
        <w:spacing w:after="80"/>
      </w:pPr>
      <w:r>
        <w:rPr>
          <w:b/>
          <w:sz w:val="22"/>
        </w:rPr>
        <w:t xml:space="preserve">Testing the 'Representation Extraction' Hypothesis: </w:t>
      </w:r>
      <w:r>
        <w:rPr>
          <w:sz w:val="22"/>
        </w:rPr>
        <w:t>The near-random performance of L1000 signatures in literature (~0.57 AUC) raises the question of whether transcriptomic profiles lack signal or if previous shallow classifiers failed to extract it. By utilizing a multi-head Transformer encoder on the experimental z-score sequence, we directly test whether a learned representation can recover predictive biological signal that simpler methods missed. Evaluating this cleanly, without any structural imputation contamination, provides a high-quality benchmarking study.</w:t>
      </w:r>
    </w:p>
    <w:p>
      <w:pPr>
        <w:spacing w:before="360" w:after="120"/>
      </w:pPr>
      <w:r>
        <w:rPr>
          <w:b/>
          <w:sz w:val="26"/>
        </w:rPr>
        <w:t>5. Verification and Reproducibility</w:t>
      </w:r>
    </w:p>
    <w:p>
      <w:pPr>
        <w:spacing w:after="240"/>
      </w:pPr>
      <w:r>
        <w:t>All data processing steps are fully automated. The random seed is frozen at 42 in config.py, and both split files are frozen and saved in the repository at data/splits/drug_split.csv and data/splits/scaffold_split.csv. These splits will remain frozen throughout the modeling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