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sz w:val="32"/>
        </w:rPr>
        <w:t>Cardiotox-Fusion: Phase 1 Usability Audit and Dataset Splits</w:t>
      </w:r>
    </w:p>
    <w:p>
      <w:pPr>
        <w:spacing w:line="312" w:lineRule="auto" w:after="360"/>
      </w:pPr>
      <w:r>
        <w:rPr>
          <w:rFonts w:ascii="Arial" w:hAnsi="Arial"/>
          <w:b/>
          <w:color w:val="323232"/>
          <w:sz w:val="20"/>
        </w:rPr>
        <w:t xml:space="preserve">Milestone: </w:t>
      </w:r>
      <w:r>
        <w:rPr>
          <w:rFonts w:ascii="Arial" w:hAnsi="Arial"/>
          <w:b w:val="0"/>
          <w:color w:val="323232"/>
          <w:sz w:val="20"/>
        </w:rPr>
        <w:t xml:space="preserve">Week 1 Deliverable   |   </w:t>
      </w:r>
      <w:r>
        <w:rPr>
          <w:rFonts w:ascii="Arial" w:hAnsi="Arial"/>
          <w:b/>
          <w:color w:val="323232"/>
          <w:sz w:val="20"/>
        </w:rPr>
        <w:t xml:space="preserve">Date: </w:t>
      </w:r>
      <w:r>
        <w:rPr>
          <w:rFonts w:ascii="Arial" w:hAnsi="Arial"/>
          <w:b w:val="0"/>
          <w:color w:val="323232"/>
          <w:sz w:val="20"/>
        </w:rPr>
        <w:t>July 27, 2026</w:t>
        <w:br/>
      </w:r>
      <w:r>
        <w:rPr>
          <w:rFonts w:ascii="Arial" w:hAnsi="Arial"/>
          <w:b/>
          <w:color w:val="323232"/>
          <w:sz w:val="20"/>
        </w:rPr>
        <w:t xml:space="preserve">Team Members: </w:t>
      </w:r>
      <w:r>
        <w:rPr>
          <w:rFonts w:ascii="Arial" w:hAnsi="Arial"/>
          <w:b w:val="0"/>
          <w:color w:val="323232"/>
          <w:sz w:val="20"/>
        </w:rPr>
        <w:t>Jimit Patel, Vineela, Aditya, Nehal, Pranjal</w:t>
        <w:br/>
      </w:r>
      <w:r>
        <w:rPr>
          <w:rFonts w:ascii="Arial" w:hAnsi="Arial"/>
          <w:b/>
          <w:color w:val="323232"/>
          <w:sz w:val="20"/>
        </w:rPr>
        <w:t xml:space="preserve">Repository: </w:t>
      </w:r>
      <w:r>
        <w:rPr>
          <w:rFonts w:ascii="Arial" w:hAnsi="Arial"/>
          <w:b w:val="0"/>
          <w:color w:val="323232"/>
          <w:sz w:val="20"/>
        </w:rPr>
        <w:t>github.com/JP-Bro/Cardiotox-Fusion-project</w:t>
      </w:r>
    </w:p>
    <w:p>
      <w:pPr>
        <w:spacing w:before="360" w:after="120"/>
      </w:pPr>
      <w:r>
        <w:rPr>
          <w:b/>
          <w:color w:val="000000"/>
          <w:sz w:val="26"/>
        </w:rPr>
        <w:t>1. Dataset Usability Audit</w:t>
      </w:r>
    </w:p>
    <w:p>
      <w:pPr>
        <w:spacing w:after="120"/>
      </w:pPr>
      <w:r>
        <w:t>To establish the modeling boundaries for the GNN-Transformer fusion model, we performed a joint audit of the FDA DICTrank labeling set and the LINCS L1000 GSE70138 level-5 expression matrix. Compounds were retained in the usable cohort only if they met the following criteria:</w:t>
      </w:r>
    </w:p>
    <w:p>
      <w:pPr>
        <w:pStyle w:val="ListBullet"/>
        <w:spacing w:after="60"/>
      </w:pPr>
      <w:r>
        <w:rPr>
          <w:sz w:val="22"/>
        </w:rPr>
        <w:t>Possessed a valid, parseable chemical structure (verified via RDKit).</w:t>
      </w:r>
    </w:p>
    <w:p>
      <w:pPr>
        <w:pStyle w:val="ListBullet"/>
        <w:spacing w:after="60"/>
      </w:pPr>
      <w:r>
        <w:rPr>
          <w:sz w:val="22"/>
        </w:rPr>
        <w:t>Matched a unique Level-5 perturbation signature (COMPZ) in the HA1E cell line (10.0 µM dose, 24-hour time point).</w:t>
      </w:r>
    </w:p>
    <w:p>
      <w:pPr>
        <w:pStyle w:val="ListBullet"/>
        <w:spacing w:after="60"/>
      </w:pPr>
      <w:r>
        <w:rPr>
          <w:sz w:val="22"/>
        </w:rPr>
        <w:t>Carried a non-ambiguous DICTrank label mapping to binary classification (No concern = 0; Less/Most concern = 1).</w:t>
      </w:r>
    </w:p>
    <w:p>
      <w:pPr>
        <w:spacing w:before="120" w:after="200"/>
      </w:pPr>
      <w:r>
        <w:t>Out of the raw 1,211 labeled DICTrank compounds, a total of 562 compounds met all three requirements, forming our core dataset. The breakdown across the cardiotoxicity label categories is detailed below: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032"/>
            <w:shd w:fill="1A1A2E"/>
            <w:tcMar>
              <w:top w:w="120" w:type="dxa"/>
              <w:bottom w:w="120" w:type="dxa"/>
              <w:left w:w="150" w:type="dxa"/>
              <w:right w:w="150" w:type="dxa"/>
            </w:tcMar>
          </w:tcPr>
          <w:p>
            <w:pPr>
              <w:jc w:val="left"/>
            </w:pPr>
            <w:r>
              <w:rPr>
                <w:rFonts w:ascii="Arial" w:hAnsi="Arial"/>
                <w:b/>
                <w:color w:val="FFFFFF"/>
                <w:sz w:val="19"/>
              </w:rPr>
              <w:t>DICTrank Category</w:t>
            </w:r>
          </w:p>
        </w:tc>
        <w:tc>
          <w:tcPr>
            <w:tcW w:type="dxa" w:w="1728"/>
            <w:shd w:fill="1A1A2E"/>
            <w:tcMar>
              <w:top w:w="120" w:type="dxa"/>
              <w:bottom w:w="120" w:type="dxa"/>
              <w:left w:w="150" w:type="dxa"/>
              <w:right w:w="150" w:type="dxa"/>
            </w:tcMar>
          </w:tcPr>
          <w:p>
            <w:pPr>
              <w:jc w:val="left"/>
            </w:pPr>
            <w:r>
              <w:rPr>
                <w:rFonts w:ascii="Arial" w:hAnsi="Arial"/>
                <w:b/>
                <w:color w:val="FFFFFF"/>
                <w:sz w:val="19"/>
              </w:rPr>
              <w:t>Model Label</w:t>
            </w:r>
          </w:p>
        </w:tc>
        <w:tc>
          <w:tcPr>
            <w:tcW w:type="dxa" w:w="1728"/>
            <w:shd w:fill="1A1A2E"/>
            <w:tcMar>
              <w:top w:w="120" w:type="dxa"/>
              <w:bottom w:w="120" w:type="dxa"/>
              <w:left w:w="150" w:type="dxa"/>
              <w:right w:w="150" w:type="dxa"/>
            </w:tcMar>
          </w:tcPr>
          <w:p>
            <w:pPr>
              <w:jc w:val="left"/>
            </w:pPr>
            <w:r>
              <w:rPr>
                <w:rFonts w:ascii="Arial" w:hAnsi="Arial"/>
                <w:b/>
                <w:color w:val="FFFFFF"/>
                <w:sz w:val="19"/>
              </w:rPr>
              <w:t>Usable Count</w:t>
            </w:r>
          </w:p>
        </w:tc>
        <w:tc>
          <w:tcPr>
            <w:tcW w:type="dxa" w:w="1872"/>
            <w:shd w:fill="1A1A2E"/>
            <w:tcMar>
              <w:top w:w="120" w:type="dxa"/>
              <w:bottom w:w="120" w:type="dxa"/>
              <w:left w:w="150" w:type="dxa"/>
              <w:right w:w="150" w:type="dxa"/>
            </w:tcMar>
          </w:tcPr>
          <w:p>
            <w:pPr>
              <w:jc w:val="left"/>
            </w:pPr>
            <w:r>
              <w:rPr>
                <w:rFonts w:ascii="Arial" w:hAnsi="Arial"/>
                <w:b/>
                <w:color w:val="FFFFFF"/>
                <w:sz w:val="19"/>
              </w:rPr>
              <w:t>Percentage</w:t>
            </w:r>
          </w:p>
        </w:tc>
      </w:tr>
      <w:tr>
        <w:tc>
          <w:tcPr>
            <w:tcW w:type="dxa" w:w="4032"/>
            <w:shd w:fill="FFFFFF"/>
            <w:tcMar>
              <w:top w:w="100" w:type="dxa"/>
              <w:bottom w:w="100" w:type="dxa"/>
              <w:left w:w="150" w:type="dxa"/>
              <w:right w:w="150" w:type="dxa"/>
            </w:tcMar>
          </w:tcPr>
          <w:p>
            <w:pPr>
              <w:jc w:val="left"/>
            </w:pPr>
            <w:r>
              <w:rPr>
                <w:rFonts w:ascii="Arial" w:hAnsi="Arial"/>
                <w:sz w:val="19"/>
              </w:rPr>
              <w:t>Most Concern (High Risk)</w:t>
            </w:r>
          </w:p>
        </w:tc>
        <w:tc>
          <w:tcPr>
            <w:tcW w:type="dxa" w:w="1728"/>
            <w:shd w:fill="FFFFFF"/>
            <w:tcMar>
              <w:top w:w="100" w:type="dxa"/>
              <w:bottom w:w="100" w:type="dxa"/>
              <w:left w:w="150" w:type="dxa"/>
              <w:right w:w="150" w:type="dxa"/>
            </w:tcMar>
          </w:tcPr>
          <w:p>
            <w:pPr>
              <w:jc w:val="left"/>
            </w:pPr>
            <w:r>
              <w:rPr>
                <w:rFonts w:ascii="Arial" w:hAnsi="Arial"/>
                <w:sz w:val="19"/>
              </w:rPr>
              <w:t>1 (Positive)</w:t>
            </w:r>
          </w:p>
        </w:tc>
        <w:tc>
          <w:tcPr>
            <w:tcW w:type="dxa" w:w="1728"/>
            <w:shd w:fill="FFFFFF"/>
            <w:tcMar>
              <w:top w:w="100" w:type="dxa"/>
              <w:bottom w:w="100" w:type="dxa"/>
              <w:left w:w="150" w:type="dxa"/>
              <w:right w:w="150" w:type="dxa"/>
            </w:tcMar>
          </w:tcPr>
          <w:p>
            <w:pPr>
              <w:jc w:val="left"/>
            </w:pPr>
            <w:r>
              <w:rPr>
                <w:rFonts w:ascii="Arial" w:hAnsi="Arial"/>
                <w:sz w:val="19"/>
              </w:rPr>
              <w:t>199</w:t>
            </w:r>
          </w:p>
        </w:tc>
        <w:tc>
          <w:tcPr>
            <w:tcW w:type="dxa" w:w="1872"/>
            <w:shd w:fill="FFFFFF"/>
            <w:tcMar>
              <w:top w:w="100" w:type="dxa"/>
              <w:bottom w:w="100" w:type="dxa"/>
              <w:left w:w="150" w:type="dxa"/>
              <w:right w:w="150" w:type="dxa"/>
            </w:tcMar>
          </w:tcPr>
          <w:p>
            <w:pPr>
              <w:jc w:val="left"/>
            </w:pPr>
            <w:r>
              <w:rPr>
                <w:rFonts w:ascii="Arial" w:hAnsi="Arial"/>
                <w:sz w:val="19"/>
              </w:rPr>
              <w:t>35.4%</w:t>
            </w:r>
          </w:p>
        </w:tc>
      </w:tr>
      <w:tr>
        <w:tc>
          <w:tcPr>
            <w:tcW w:type="dxa" w:w="4032"/>
            <w:shd w:fill="F9F9F9"/>
            <w:tcMar>
              <w:top w:w="100" w:type="dxa"/>
              <w:bottom w:w="100" w:type="dxa"/>
              <w:left w:w="150" w:type="dxa"/>
              <w:right w:w="150" w:type="dxa"/>
            </w:tcMar>
          </w:tcPr>
          <w:p>
            <w:pPr>
              <w:jc w:val="left"/>
            </w:pPr>
            <w:r>
              <w:rPr>
                <w:rFonts w:ascii="Arial" w:hAnsi="Arial"/>
                <w:sz w:val="19"/>
              </w:rPr>
              <w:t>Less Concern (Medium Risk)</w:t>
            </w:r>
          </w:p>
        </w:tc>
        <w:tc>
          <w:tcPr>
            <w:tcW w:type="dxa" w:w="1728"/>
            <w:shd w:fill="F9F9F9"/>
            <w:tcMar>
              <w:top w:w="100" w:type="dxa"/>
              <w:bottom w:w="100" w:type="dxa"/>
              <w:left w:w="150" w:type="dxa"/>
              <w:right w:w="150" w:type="dxa"/>
            </w:tcMar>
          </w:tcPr>
          <w:p>
            <w:pPr>
              <w:jc w:val="left"/>
            </w:pPr>
            <w:r>
              <w:rPr>
                <w:rFonts w:ascii="Arial" w:hAnsi="Arial"/>
                <w:sz w:val="19"/>
              </w:rPr>
              <w:t>1 (Positive)</w:t>
            </w:r>
          </w:p>
        </w:tc>
        <w:tc>
          <w:tcPr>
            <w:tcW w:type="dxa" w:w="1728"/>
            <w:shd w:fill="F9F9F9"/>
            <w:tcMar>
              <w:top w:w="100" w:type="dxa"/>
              <w:bottom w:w="100" w:type="dxa"/>
              <w:left w:w="150" w:type="dxa"/>
              <w:right w:w="150" w:type="dxa"/>
            </w:tcMar>
          </w:tcPr>
          <w:p>
            <w:pPr>
              <w:jc w:val="left"/>
            </w:pPr>
            <w:r>
              <w:rPr>
                <w:rFonts w:ascii="Arial" w:hAnsi="Arial"/>
                <w:sz w:val="19"/>
              </w:rPr>
              <w:t>246</w:t>
            </w:r>
          </w:p>
        </w:tc>
        <w:tc>
          <w:tcPr>
            <w:tcW w:type="dxa" w:w="1872"/>
            <w:shd w:fill="F9F9F9"/>
            <w:tcMar>
              <w:top w:w="100" w:type="dxa"/>
              <w:bottom w:w="100" w:type="dxa"/>
              <w:left w:w="150" w:type="dxa"/>
              <w:right w:w="150" w:type="dxa"/>
            </w:tcMar>
          </w:tcPr>
          <w:p>
            <w:pPr>
              <w:jc w:val="left"/>
            </w:pPr>
            <w:r>
              <w:rPr>
                <w:rFonts w:ascii="Arial" w:hAnsi="Arial"/>
                <w:sz w:val="19"/>
              </w:rPr>
              <w:t>43.8%</w:t>
            </w:r>
          </w:p>
        </w:tc>
      </w:tr>
      <w:tr>
        <w:tc>
          <w:tcPr>
            <w:tcW w:type="dxa" w:w="4032"/>
            <w:shd w:fill="FFFFFF"/>
            <w:tcMar>
              <w:top w:w="100" w:type="dxa"/>
              <w:bottom w:w="100" w:type="dxa"/>
              <w:left w:w="150" w:type="dxa"/>
              <w:right w:w="150" w:type="dxa"/>
            </w:tcMar>
          </w:tcPr>
          <w:p>
            <w:pPr>
              <w:jc w:val="left"/>
            </w:pPr>
            <w:r>
              <w:rPr>
                <w:rFonts w:ascii="Arial" w:hAnsi="Arial"/>
                <w:sz w:val="19"/>
              </w:rPr>
              <w:t>No Concern (Safe)</w:t>
            </w:r>
          </w:p>
        </w:tc>
        <w:tc>
          <w:tcPr>
            <w:tcW w:type="dxa" w:w="1728"/>
            <w:shd w:fill="FFFFFF"/>
            <w:tcMar>
              <w:top w:w="100" w:type="dxa"/>
              <w:bottom w:w="100" w:type="dxa"/>
              <w:left w:w="150" w:type="dxa"/>
              <w:right w:w="150" w:type="dxa"/>
            </w:tcMar>
          </w:tcPr>
          <w:p>
            <w:pPr>
              <w:jc w:val="left"/>
            </w:pPr>
            <w:r>
              <w:rPr>
                <w:rFonts w:ascii="Arial" w:hAnsi="Arial"/>
                <w:sz w:val="19"/>
              </w:rPr>
              <w:t>0 (Negative)</w:t>
            </w:r>
          </w:p>
        </w:tc>
        <w:tc>
          <w:tcPr>
            <w:tcW w:type="dxa" w:w="1728"/>
            <w:shd w:fill="FFFFFF"/>
            <w:tcMar>
              <w:top w:w="100" w:type="dxa"/>
              <w:bottom w:w="100" w:type="dxa"/>
              <w:left w:w="150" w:type="dxa"/>
              <w:right w:w="150" w:type="dxa"/>
            </w:tcMar>
          </w:tcPr>
          <w:p>
            <w:pPr>
              <w:jc w:val="left"/>
            </w:pPr>
            <w:r>
              <w:rPr>
                <w:rFonts w:ascii="Arial" w:hAnsi="Arial"/>
                <w:sz w:val="19"/>
              </w:rPr>
              <w:t>117</w:t>
            </w:r>
          </w:p>
        </w:tc>
        <w:tc>
          <w:tcPr>
            <w:tcW w:type="dxa" w:w="1872"/>
            <w:shd w:fill="FFFFFF"/>
            <w:tcMar>
              <w:top w:w="100" w:type="dxa"/>
              <w:bottom w:w="100" w:type="dxa"/>
              <w:left w:w="150" w:type="dxa"/>
              <w:right w:w="150" w:type="dxa"/>
            </w:tcMar>
          </w:tcPr>
          <w:p>
            <w:pPr>
              <w:jc w:val="left"/>
            </w:pPr>
            <w:r>
              <w:rPr>
                <w:rFonts w:ascii="Arial" w:hAnsi="Arial"/>
                <w:sz w:val="19"/>
              </w:rPr>
              <w:t>20.8%</w:t>
            </w:r>
          </w:p>
        </w:tc>
      </w:tr>
      <w:tr>
        <w:tc>
          <w:tcPr>
            <w:tcW w:type="dxa" w:w="4032"/>
            <w:shd w:fill="EAEAEA"/>
            <w:tcMar>
              <w:top w:w="100" w:type="dxa"/>
              <w:bottom w:w="100" w:type="dxa"/>
              <w:left w:w="150" w:type="dxa"/>
              <w:right w:w="150" w:type="dxa"/>
            </w:tcMar>
          </w:tcPr>
          <w:p>
            <w:pPr>
              <w:jc w:val="left"/>
            </w:pPr>
            <w:r>
              <w:rPr>
                <w:rFonts w:ascii="Arial" w:hAnsi="Arial"/>
                <w:b/>
                <w:sz w:val="19"/>
              </w:rPr>
              <w:t>Total Usable Set</w:t>
            </w:r>
          </w:p>
        </w:tc>
        <w:tc>
          <w:tcPr>
            <w:tcW w:type="dxa" w:w="1728"/>
            <w:shd w:fill="EAEAEA"/>
            <w:tcMar>
              <w:top w:w="100" w:type="dxa"/>
              <w:bottom w:w="100" w:type="dxa"/>
              <w:left w:w="150" w:type="dxa"/>
              <w:right w:w="150" w:type="dxa"/>
            </w:tcMar>
          </w:tcPr>
          <w:p>
            <w:pPr>
              <w:jc w:val="left"/>
            </w:pPr>
            <w:r>
              <w:rPr>
                <w:rFonts w:ascii="Arial" w:hAnsi="Arial"/>
                <w:b/>
                <w:sz w:val="19"/>
              </w:rPr>
              <w:t>—</w:t>
            </w:r>
          </w:p>
        </w:tc>
        <w:tc>
          <w:tcPr>
            <w:tcW w:type="dxa" w:w="1728"/>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100.0%</w:t>
            </w:r>
          </w:p>
        </w:tc>
      </w:tr>
    </w:tbl>
    <w:p>
      <w:pPr>
        <w:spacing w:before="0" w:after="120"/>
      </w:pPr>
    </w:p>
    <w:p>
      <w:pPr>
        <w:spacing w:before="120" w:after="60"/>
      </w:pPr>
      <w:r>
        <w:rPr>
          <w:b/>
          <w:sz w:val="20"/>
        </w:rPr>
        <w:t>Jupyter Notebook Audit Execution Verification Log:</w:t>
      </w:r>
    </w:p>
    <w:p/>
    <w:tbl>
      <w:tblPr>
        <w:tblW w:type="auto" w:w="0"/>
        <w:jc w:val="center"/>
        <w:tblLook w:firstColumn="1" w:firstRow="1" w:lastColumn="0" w:lastRow="0" w:noHBand="0" w:noVBand="1" w:val="04A0"/>
      </w:tblPr>
      <w:tblGrid>
        <w:gridCol w:w="9360"/>
      </w:tblGrid>
      <w:tr>
        <w:tc>
          <w:tcPr>
            <w:tcW w:type="dxa" w:w="8352"/>
            <w:shd w:fill="F5F5F7"/>
            <w:tcMar>
              <w:top w:w="80" w:type="dxa"/>
              <w:bottom w:w="80" w:type="dxa"/>
              <w:left w:w="120" w:type="dxa"/>
              <w:right w:w="120" w:type="dxa"/>
            </w:tcMar>
          </w:tcPr>
          <w:p>
            <w:pPr>
              <w:spacing w:line="276" w:lineRule="auto" w:after="0"/>
            </w:pPr>
            <w:r>
              <w:rPr>
                <w:rFonts w:ascii="Courier New" w:hAnsi="Courier New"/>
                <w:color w:val="1E1E1E"/>
                <w:sz w:val="17"/>
              </w:rPr>
              <w:t>In [2]: # Load and merge datasets</w:t>
              <w:br/>
              <w:t>Raw DICTrank count: 1211</w:t>
              <w:br/>
              <w:t>L1000 matched compounds: 1048</w:t>
              <w:br/>
              <w:t>Merged set count: 1048</w:t>
              <w:br/>
              <w:br/>
              <w:t>In [4]: # Class Counts Verification</w:t>
              <w:br/>
              <w:t>--- CLASS COUNTS (DICTrank Full Set) ---</w:t>
              <w:br/>
              <w:t xml:space="preserve">  less           : 451</w:t>
              <w:br/>
              <w:t xml:space="preserve">  most           : 318</w:t>
              <w:br/>
              <w:t xml:space="preserve">  no             : 279</w:t>
              <w:br/>
              <w:br/>
              <w:t>--- CLASS COUNTS (LINCS-Overlapping Usable Set) ---</w:t>
              <w:br/>
              <w:t xml:space="preserve">  less           : 246 (43.8%)</w:t>
              <w:br/>
              <w:t xml:space="preserve">  most           : 199 (35.4%)</w:t>
              <w:br/>
              <w:t xml:space="preserve">  no             : 117 (20.8%)</w:t>
            </w:r>
          </w:p>
        </w:tc>
      </w:tr>
    </w:tbl>
    <w:p>
      <w:pPr>
        <w:spacing w:after="240"/>
      </w:pPr>
    </w:p>
    <w:p>
      <w:pPr>
        <w:spacing w:after="360"/>
        <w:jc w:val="center"/>
      </w:pPr>
      <w:r>
        <w:drawing>
          <wp:inline xmlns:a="http://schemas.openxmlformats.org/drawingml/2006/main" xmlns:pic="http://schemas.openxmlformats.org/drawingml/2006/picture">
            <wp:extent cx="4114800" cy="3176295"/>
            <wp:docPr id="1" name="Picture 1"/>
            <wp:cNvGraphicFramePr>
              <a:graphicFrameLocks noChangeAspect="1"/>
            </wp:cNvGraphicFramePr>
            <a:graphic>
              <a:graphicData uri="http://schemas.openxmlformats.org/drawingml/2006/picture">
                <pic:pic>
                  <pic:nvPicPr>
                    <pic:cNvPr id="0" name="phase1_usable_cohort.png"/>
                    <pic:cNvPicPr/>
                  </pic:nvPicPr>
                  <pic:blipFill>
                    <a:blip r:embed="rId9"/>
                    <a:stretch>
                      <a:fillRect/>
                    </a:stretch>
                  </pic:blipFill>
                  <pic:spPr>
                    <a:xfrm>
                      <a:off x="0" y="0"/>
                      <a:ext cx="4114800" cy="3176295"/>
                    </a:xfrm>
                    <a:prstGeom prst="rect"/>
                  </pic:spPr>
                </pic:pic>
              </a:graphicData>
            </a:graphic>
          </wp:inline>
        </w:drawing>
      </w:r>
    </w:p>
    <w:p>
      <w:pPr>
        <w:spacing w:after="240"/>
        <w:jc w:val="center"/>
      </w:pPr>
      <w:r>
        <w:rPr>
          <w:i/>
          <w:sz w:val="19"/>
        </w:rPr>
        <w:t>Figure 1: Usable Dataset Cohort distribution by FDA DICTrank concern class.</w:t>
      </w:r>
    </w:p>
    <w:p>
      <w:pPr>
        <w:spacing w:before="360" w:after="120"/>
      </w:pPr>
      <w:r>
        <w:rPr>
          <w:b/>
          <w:sz w:val="26"/>
        </w:rPr>
        <w:t>2. Leakage-Free Dataset Splits</w:t>
      </w:r>
    </w:p>
    <w:p>
      <w:pPr>
        <w:spacing w:after="240"/>
      </w:pPr>
      <w:r>
        <w:t>To prevent target leakage and ensure realistic validation generalizability, we implemented two separate stratified splitting schemes. In both schemes, splits are frozen at a 70 / 15 / 15 ratio.</w:t>
      </w:r>
    </w:p>
    <w:p>
      <w:pPr>
        <w:spacing w:before="160" w:after="120"/>
      </w:pPr>
      <w:r>
        <w:rPr>
          <w:b/>
          <w:i/>
          <w:sz w:val="23"/>
        </w:rPr>
        <w:t>A. Drug-Level Splits (Stratified)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1A2E"/>
            <w:tcMar>
              <w:top w:w="120" w:type="dxa"/>
              <w:bottom w:w="120" w:type="dxa"/>
              <w:left w:w="150" w:type="dxa"/>
              <w:right w:w="150" w:type="dxa"/>
            </w:tcMar>
          </w:tcPr>
          <w:p>
            <w:pPr>
              <w:jc w:val="left"/>
            </w:pPr>
            <w:r>
              <w:rPr>
                <w:rFonts w:ascii="Arial" w:hAnsi="Arial"/>
                <w:b/>
                <w:color w:val="FFFFFF"/>
                <w:sz w:val="19"/>
              </w:rPr>
              <w:t>Partition</w:t>
            </w:r>
          </w:p>
        </w:tc>
        <w:tc>
          <w:tcPr>
            <w:tcW w:type="dxa" w:w="1872"/>
            <w:shd w:fill="1A1A2E"/>
            <w:tcMar>
              <w:top w:w="120" w:type="dxa"/>
              <w:bottom w:w="120" w:type="dxa"/>
              <w:left w:w="150" w:type="dxa"/>
              <w:right w:w="150" w:type="dxa"/>
            </w:tcMar>
          </w:tcPr>
          <w:p>
            <w:pPr>
              <w:jc w:val="left"/>
            </w:pPr>
            <w:r>
              <w:rPr>
                <w:rFonts w:ascii="Arial" w:hAnsi="Arial"/>
                <w:b/>
                <w:color w:val="FFFFFF"/>
                <w:sz w:val="19"/>
              </w:rPr>
              <w:t>Compound Count</w:t>
            </w:r>
          </w:p>
        </w:tc>
        <w:tc>
          <w:tcPr>
            <w:tcW w:type="dxa" w:w="1872"/>
            <w:shd w:fill="1A1A2E"/>
            <w:tcMar>
              <w:top w:w="120" w:type="dxa"/>
              <w:bottom w:w="120" w:type="dxa"/>
              <w:left w:w="150" w:type="dxa"/>
              <w:right w:w="150" w:type="dxa"/>
            </w:tcMar>
          </w:tcPr>
          <w:p>
            <w:pPr>
              <w:jc w:val="left"/>
            </w:pPr>
            <w:r>
              <w:rPr>
                <w:rFonts w:ascii="Arial" w:hAnsi="Arial"/>
                <w:b/>
                <w:color w:val="FFFFFF"/>
                <w:sz w:val="19"/>
              </w:rPr>
              <w:t>Positive (Tox) Count</w:t>
            </w:r>
          </w:p>
        </w:tc>
        <w:tc>
          <w:tcPr>
            <w:tcW w:type="dxa" w:w="1872"/>
            <w:shd w:fill="1A1A2E"/>
            <w:tcMar>
              <w:top w:w="120" w:type="dxa"/>
              <w:bottom w:w="120" w:type="dxa"/>
              <w:left w:w="150" w:type="dxa"/>
              <w:right w:w="150" w:type="dxa"/>
            </w:tcMar>
          </w:tcPr>
          <w:p>
            <w:pPr>
              <w:jc w:val="left"/>
            </w:pPr>
            <w:r>
              <w:rPr>
                <w:rFonts w:ascii="Arial" w:hAnsi="Arial"/>
                <w:b/>
                <w:color w:val="FFFFFF"/>
                <w:sz w:val="19"/>
              </w:rPr>
              <w:t>Negative (Safe) Count</w:t>
            </w:r>
          </w:p>
        </w:tc>
        <w:tc>
          <w:tcPr>
            <w:tcW w:type="dxa" w:w="1584"/>
            <w:shd w:fill="1A1A2E"/>
            <w:tcMar>
              <w:top w:w="120" w:type="dxa"/>
              <w:bottom w:w="120" w:type="dxa"/>
              <w:left w:w="150" w:type="dxa"/>
              <w:right w:w="150" w:type="dxa"/>
            </w:tcMar>
          </w:tcPr>
          <w:p>
            <w:pPr>
              <w:jc w:val="left"/>
            </w:pPr>
            <w:r>
              <w:rPr>
                <w:rFonts w:ascii="Arial" w:hAnsi="Arial"/>
                <w:b/>
                <w:color w:val="FFFFFF"/>
                <w:sz w:val="19"/>
              </w:rPr>
              <w:t>Positive Rate</w:t>
            </w:r>
          </w:p>
        </w:tc>
      </w:tr>
      <w:tr>
        <w:tc>
          <w:tcPr>
            <w:tcW w:type="dxa" w:w="2160"/>
            <w:shd w:fill="FFFFFF"/>
            <w:tcMar>
              <w:top w:w="100" w:type="dxa"/>
              <w:bottom w:w="100" w:type="dxa"/>
              <w:left w:w="150" w:type="dxa"/>
              <w:right w:w="150" w:type="dxa"/>
            </w:tcMar>
          </w:tcPr>
          <w:p>
            <w:pPr>
              <w:jc w:val="left"/>
            </w:pPr>
            <w:r>
              <w:rPr>
                <w:rFonts w:ascii="Arial" w:hAnsi="Arial"/>
                <w:sz w:val="19"/>
              </w:rPr>
              <w:t>Train</w:t>
            </w:r>
          </w:p>
        </w:tc>
        <w:tc>
          <w:tcPr>
            <w:tcW w:type="dxa" w:w="1872"/>
            <w:shd w:fill="FFFFFF"/>
            <w:tcMar>
              <w:top w:w="100" w:type="dxa"/>
              <w:bottom w:w="100" w:type="dxa"/>
              <w:left w:w="150" w:type="dxa"/>
              <w:right w:w="150" w:type="dxa"/>
            </w:tcMar>
          </w:tcPr>
          <w:p>
            <w:pPr>
              <w:jc w:val="left"/>
            </w:pPr>
            <w:r>
              <w:rPr>
                <w:rFonts w:ascii="Arial" w:hAnsi="Arial"/>
                <w:sz w:val="19"/>
              </w:rPr>
              <w:t>393</w:t>
            </w:r>
          </w:p>
        </w:tc>
        <w:tc>
          <w:tcPr>
            <w:tcW w:type="dxa" w:w="1872"/>
            <w:shd w:fill="FFFFFF"/>
            <w:tcMar>
              <w:top w:w="100" w:type="dxa"/>
              <w:bottom w:w="100" w:type="dxa"/>
              <w:left w:w="150" w:type="dxa"/>
              <w:right w:w="150" w:type="dxa"/>
            </w:tcMar>
          </w:tcPr>
          <w:p>
            <w:pPr>
              <w:jc w:val="left"/>
            </w:pPr>
            <w:r>
              <w:rPr>
                <w:rFonts w:ascii="Arial" w:hAnsi="Arial"/>
                <w:sz w:val="19"/>
              </w:rPr>
              <w:t>311</w:t>
            </w:r>
          </w:p>
        </w:tc>
        <w:tc>
          <w:tcPr>
            <w:tcW w:type="dxa" w:w="1872"/>
            <w:shd w:fill="FFFFFF"/>
            <w:tcMar>
              <w:top w:w="100" w:type="dxa"/>
              <w:bottom w:w="100" w:type="dxa"/>
              <w:left w:w="150" w:type="dxa"/>
              <w:right w:w="150" w:type="dxa"/>
            </w:tcMar>
          </w:tcPr>
          <w:p>
            <w:pPr>
              <w:jc w:val="left"/>
            </w:pPr>
            <w:r>
              <w:rPr>
                <w:rFonts w:ascii="Arial" w:hAnsi="Arial"/>
                <w:sz w:val="19"/>
              </w:rPr>
              <w:t>82</w:t>
            </w:r>
          </w:p>
        </w:tc>
        <w:tc>
          <w:tcPr>
            <w:tcW w:type="dxa" w:w="1584"/>
            <w:shd w:fill="FFFFFF"/>
            <w:tcMar>
              <w:top w:w="100" w:type="dxa"/>
              <w:bottom w:w="100" w:type="dxa"/>
              <w:left w:w="150" w:type="dxa"/>
              <w:right w:w="150" w:type="dxa"/>
            </w:tcMar>
          </w:tcPr>
          <w:p>
            <w:pPr>
              <w:jc w:val="left"/>
            </w:pPr>
            <w:r>
              <w:rPr>
                <w:rFonts w:ascii="Arial" w:hAnsi="Arial"/>
                <w:sz w:val="19"/>
              </w:rPr>
              <w:t>79.1%</w:t>
            </w:r>
          </w:p>
        </w:tc>
      </w:tr>
      <w:tr>
        <w:tc>
          <w:tcPr>
            <w:tcW w:type="dxa" w:w="2160"/>
            <w:shd w:fill="F9F9F9"/>
            <w:tcMar>
              <w:top w:w="100" w:type="dxa"/>
              <w:bottom w:w="100" w:type="dxa"/>
              <w:left w:w="150" w:type="dxa"/>
              <w:right w:w="150" w:type="dxa"/>
            </w:tcMar>
          </w:tcPr>
          <w:p>
            <w:pPr>
              <w:jc w:val="left"/>
            </w:pPr>
            <w:r>
              <w:rPr>
                <w:rFonts w:ascii="Arial" w:hAnsi="Arial"/>
                <w:sz w:val="19"/>
              </w:rPr>
              <w:t>Validation</w:t>
            </w:r>
          </w:p>
        </w:tc>
        <w:tc>
          <w:tcPr>
            <w:tcW w:type="dxa" w:w="1872"/>
            <w:shd w:fill="F9F9F9"/>
            <w:tcMar>
              <w:top w:w="100" w:type="dxa"/>
              <w:bottom w:w="100" w:type="dxa"/>
              <w:left w:w="150" w:type="dxa"/>
              <w:right w:w="150" w:type="dxa"/>
            </w:tcMar>
          </w:tcPr>
          <w:p>
            <w:pPr>
              <w:jc w:val="left"/>
            </w:pPr>
            <w:r>
              <w:rPr>
                <w:rFonts w:ascii="Arial" w:hAnsi="Arial"/>
                <w:sz w:val="19"/>
              </w:rPr>
              <w:t>84</w:t>
            </w:r>
          </w:p>
        </w:tc>
        <w:tc>
          <w:tcPr>
            <w:tcW w:type="dxa" w:w="1872"/>
            <w:shd w:fill="F9F9F9"/>
            <w:tcMar>
              <w:top w:w="100" w:type="dxa"/>
              <w:bottom w:w="100" w:type="dxa"/>
              <w:left w:w="150" w:type="dxa"/>
              <w:right w:w="150" w:type="dxa"/>
            </w:tcMar>
          </w:tcPr>
          <w:p>
            <w:pPr>
              <w:jc w:val="left"/>
            </w:pPr>
            <w:r>
              <w:rPr>
                <w:rFonts w:ascii="Arial" w:hAnsi="Arial"/>
                <w:sz w:val="19"/>
              </w:rPr>
              <w:t>67</w:t>
            </w:r>
          </w:p>
        </w:tc>
        <w:tc>
          <w:tcPr>
            <w:tcW w:type="dxa" w:w="1872"/>
            <w:shd w:fill="F9F9F9"/>
            <w:tcMar>
              <w:top w:w="100" w:type="dxa"/>
              <w:bottom w:w="100" w:type="dxa"/>
              <w:left w:w="150" w:type="dxa"/>
              <w:right w:w="150" w:type="dxa"/>
            </w:tcMar>
          </w:tcPr>
          <w:p>
            <w:pPr>
              <w:jc w:val="left"/>
            </w:pPr>
            <w:r>
              <w:rPr>
                <w:rFonts w:ascii="Arial" w:hAnsi="Arial"/>
                <w:sz w:val="19"/>
              </w:rPr>
              <w:t>17</w:t>
            </w:r>
          </w:p>
        </w:tc>
        <w:tc>
          <w:tcPr>
            <w:tcW w:type="dxa" w:w="1584"/>
            <w:shd w:fill="F9F9F9"/>
            <w:tcMar>
              <w:top w:w="100" w:type="dxa"/>
              <w:bottom w:w="100" w:type="dxa"/>
              <w:left w:w="150" w:type="dxa"/>
              <w:right w:w="150" w:type="dxa"/>
            </w:tcMar>
          </w:tcPr>
          <w:p>
            <w:pPr>
              <w:jc w:val="left"/>
            </w:pPr>
            <w:r>
              <w:rPr>
                <w:rFonts w:ascii="Arial" w:hAnsi="Arial"/>
                <w:sz w:val="19"/>
              </w:rPr>
              <w:t>79.8%</w:t>
            </w:r>
          </w:p>
        </w:tc>
      </w:tr>
      <w:tr>
        <w:tc>
          <w:tcPr>
            <w:tcW w:type="dxa" w:w="2160"/>
            <w:shd w:fill="FFFFFF"/>
            <w:tcMar>
              <w:top w:w="100" w:type="dxa"/>
              <w:bottom w:w="100" w:type="dxa"/>
              <w:left w:w="150" w:type="dxa"/>
              <w:right w:w="150" w:type="dxa"/>
            </w:tcMar>
          </w:tcPr>
          <w:p>
            <w:pPr>
              <w:jc w:val="left"/>
            </w:pPr>
            <w:r>
              <w:rPr>
                <w:rFonts w:ascii="Arial" w:hAnsi="Arial"/>
                <w:sz w:val="19"/>
              </w:rPr>
              <w:t>Test</w:t>
            </w:r>
          </w:p>
        </w:tc>
        <w:tc>
          <w:tcPr>
            <w:tcW w:type="dxa" w:w="1872"/>
            <w:shd w:fill="FFFFFF"/>
            <w:tcMar>
              <w:top w:w="100" w:type="dxa"/>
              <w:bottom w:w="100" w:type="dxa"/>
              <w:left w:w="150" w:type="dxa"/>
              <w:right w:w="150" w:type="dxa"/>
            </w:tcMar>
          </w:tcPr>
          <w:p>
            <w:pPr>
              <w:jc w:val="left"/>
            </w:pPr>
            <w:r>
              <w:rPr>
                <w:rFonts w:ascii="Arial" w:hAnsi="Arial"/>
                <w:sz w:val="19"/>
              </w:rPr>
              <w:t>85</w:t>
            </w:r>
          </w:p>
        </w:tc>
        <w:tc>
          <w:tcPr>
            <w:tcW w:type="dxa" w:w="1872"/>
            <w:shd w:fill="FFFFFF"/>
            <w:tcMar>
              <w:top w:w="100" w:type="dxa"/>
              <w:bottom w:w="100" w:type="dxa"/>
              <w:left w:w="150" w:type="dxa"/>
              <w:right w:w="150" w:type="dxa"/>
            </w:tcMar>
          </w:tcPr>
          <w:p>
            <w:pPr>
              <w:jc w:val="left"/>
            </w:pPr>
            <w:r>
              <w:rPr>
                <w:rFonts w:ascii="Arial" w:hAnsi="Arial"/>
                <w:sz w:val="19"/>
              </w:rPr>
              <w:t>67</w:t>
            </w:r>
          </w:p>
        </w:tc>
        <w:tc>
          <w:tcPr>
            <w:tcW w:type="dxa" w:w="1872"/>
            <w:shd w:fill="FFFFFF"/>
            <w:tcMar>
              <w:top w:w="100" w:type="dxa"/>
              <w:bottom w:w="100" w:type="dxa"/>
              <w:left w:w="150" w:type="dxa"/>
              <w:right w:w="150" w:type="dxa"/>
            </w:tcMar>
          </w:tcPr>
          <w:p>
            <w:pPr>
              <w:jc w:val="left"/>
            </w:pPr>
            <w:r>
              <w:rPr>
                <w:rFonts w:ascii="Arial" w:hAnsi="Arial"/>
                <w:sz w:val="19"/>
              </w:rPr>
              <w:t>18</w:t>
            </w:r>
          </w:p>
        </w:tc>
        <w:tc>
          <w:tcPr>
            <w:tcW w:type="dxa" w:w="1584"/>
            <w:shd w:fill="FFFFFF"/>
            <w:tcMar>
              <w:top w:w="100" w:type="dxa"/>
              <w:bottom w:w="100" w:type="dxa"/>
              <w:left w:w="150" w:type="dxa"/>
              <w:right w:w="150" w:type="dxa"/>
            </w:tcMar>
          </w:tcPr>
          <w:p>
            <w:pPr>
              <w:jc w:val="left"/>
            </w:pPr>
            <w:r>
              <w:rPr>
                <w:rFonts w:ascii="Arial" w:hAnsi="Arial"/>
                <w:sz w:val="19"/>
              </w:rPr>
              <w:t>78.8%</w:t>
            </w:r>
          </w:p>
        </w:tc>
      </w:tr>
      <w:tr>
        <w:tc>
          <w:tcPr>
            <w:tcW w:type="dxa" w:w="2160"/>
            <w:shd w:fill="EAEAEA"/>
            <w:tcMar>
              <w:top w:w="100" w:type="dxa"/>
              <w:bottom w:w="100" w:type="dxa"/>
              <w:left w:w="150" w:type="dxa"/>
              <w:right w:w="150" w:type="dxa"/>
            </w:tcMar>
          </w:tcPr>
          <w:p>
            <w:pPr>
              <w:jc w:val="left"/>
            </w:pPr>
            <w:r>
              <w:rPr>
                <w:rFonts w:ascii="Arial" w:hAnsi="Arial"/>
                <w:b/>
                <w:sz w:val="19"/>
              </w:rPr>
              <w:t>Total Set</w:t>
            </w:r>
          </w:p>
        </w:tc>
        <w:tc>
          <w:tcPr>
            <w:tcW w:type="dxa" w:w="1872"/>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445</w:t>
            </w:r>
          </w:p>
        </w:tc>
        <w:tc>
          <w:tcPr>
            <w:tcW w:type="dxa" w:w="1872"/>
            <w:shd w:fill="EAEAEA"/>
            <w:tcMar>
              <w:top w:w="100" w:type="dxa"/>
              <w:bottom w:w="100" w:type="dxa"/>
              <w:left w:w="150" w:type="dxa"/>
              <w:right w:w="150" w:type="dxa"/>
            </w:tcMar>
          </w:tcPr>
          <w:p>
            <w:pPr>
              <w:jc w:val="left"/>
            </w:pPr>
            <w:r>
              <w:rPr>
                <w:rFonts w:ascii="Arial" w:hAnsi="Arial"/>
                <w:b/>
                <w:sz w:val="19"/>
              </w:rPr>
              <w:t>117</w:t>
            </w:r>
          </w:p>
        </w:tc>
        <w:tc>
          <w:tcPr>
            <w:tcW w:type="dxa" w:w="1584"/>
            <w:shd w:fill="EAEAEA"/>
            <w:tcMar>
              <w:top w:w="100" w:type="dxa"/>
              <w:bottom w:w="100" w:type="dxa"/>
              <w:left w:w="150" w:type="dxa"/>
              <w:right w:w="150" w:type="dxa"/>
            </w:tcMar>
          </w:tcPr>
          <w:p>
            <w:pPr>
              <w:jc w:val="left"/>
            </w:pPr>
            <w:r>
              <w:rPr>
                <w:rFonts w:ascii="Arial" w:hAnsi="Arial"/>
                <w:b/>
                <w:sz w:val="19"/>
              </w:rPr>
              <w:t>79.2%</w:t>
            </w:r>
          </w:p>
        </w:tc>
      </w:tr>
    </w:tbl>
    <w:p>
      <w:pPr>
        <w:spacing w:before="0" w:after="120"/>
      </w:pPr>
    </w:p>
    <w:p>
      <w:pPr>
        <w:spacing w:before="160" w:after="120"/>
      </w:pPr>
      <w:r>
        <w:rPr>
          <w:b/>
          <w:i/>
          <w:sz w:val="23"/>
        </w:rPr>
        <w:t>B. Bemis-Murcko Scaffold Splits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A1A2E"/>
            <w:tcMar>
              <w:top w:w="120" w:type="dxa"/>
              <w:bottom w:w="120" w:type="dxa"/>
              <w:left w:w="150" w:type="dxa"/>
              <w:right w:w="150" w:type="dxa"/>
            </w:tcMar>
          </w:tcPr>
          <w:p>
            <w:pPr>
              <w:jc w:val="left"/>
            </w:pPr>
            <w:r>
              <w:rPr>
                <w:rFonts w:ascii="Arial" w:hAnsi="Arial"/>
                <w:b/>
                <w:color w:val="FFFFFF"/>
                <w:sz w:val="19"/>
              </w:rPr>
              <w:t>Partition</w:t>
            </w:r>
          </w:p>
        </w:tc>
        <w:tc>
          <w:tcPr>
            <w:tcW w:type="dxa" w:w="1872"/>
            <w:shd w:fill="1A1A2E"/>
            <w:tcMar>
              <w:top w:w="120" w:type="dxa"/>
              <w:bottom w:w="120" w:type="dxa"/>
              <w:left w:w="150" w:type="dxa"/>
              <w:right w:w="150" w:type="dxa"/>
            </w:tcMar>
          </w:tcPr>
          <w:p>
            <w:pPr>
              <w:jc w:val="left"/>
            </w:pPr>
            <w:r>
              <w:rPr>
                <w:rFonts w:ascii="Arial" w:hAnsi="Arial"/>
                <w:b/>
                <w:color w:val="FFFFFF"/>
                <w:sz w:val="19"/>
              </w:rPr>
              <w:t>Compound Count</w:t>
            </w:r>
          </w:p>
        </w:tc>
        <w:tc>
          <w:tcPr>
            <w:tcW w:type="dxa" w:w="1872"/>
            <w:shd w:fill="1A1A2E"/>
            <w:tcMar>
              <w:top w:w="120" w:type="dxa"/>
              <w:bottom w:w="120" w:type="dxa"/>
              <w:left w:w="150" w:type="dxa"/>
              <w:right w:w="150" w:type="dxa"/>
            </w:tcMar>
          </w:tcPr>
          <w:p>
            <w:pPr>
              <w:jc w:val="left"/>
            </w:pPr>
            <w:r>
              <w:rPr>
                <w:rFonts w:ascii="Arial" w:hAnsi="Arial"/>
                <w:b/>
                <w:color w:val="FFFFFF"/>
                <w:sz w:val="19"/>
              </w:rPr>
              <w:t>Positive (Tox) Count</w:t>
            </w:r>
          </w:p>
        </w:tc>
        <w:tc>
          <w:tcPr>
            <w:tcW w:type="dxa" w:w="1872"/>
            <w:shd w:fill="1A1A2E"/>
            <w:tcMar>
              <w:top w:w="120" w:type="dxa"/>
              <w:bottom w:w="120" w:type="dxa"/>
              <w:left w:w="150" w:type="dxa"/>
              <w:right w:w="150" w:type="dxa"/>
            </w:tcMar>
          </w:tcPr>
          <w:p>
            <w:pPr>
              <w:jc w:val="left"/>
            </w:pPr>
            <w:r>
              <w:rPr>
                <w:rFonts w:ascii="Arial" w:hAnsi="Arial"/>
                <w:b/>
                <w:color w:val="FFFFFF"/>
                <w:sz w:val="19"/>
              </w:rPr>
              <w:t>Negative (Safe) Count</w:t>
            </w:r>
          </w:p>
        </w:tc>
        <w:tc>
          <w:tcPr>
            <w:tcW w:type="dxa" w:w="1584"/>
            <w:shd w:fill="1A1A2E"/>
            <w:tcMar>
              <w:top w:w="120" w:type="dxa"/>
              <w:bottom w:w="120" w:type="dxa"/>
              <w:left w:w="150" w:type="dxa"/>
              <w:right w:w="150" w:type="dxa"/>
            </w:tcMar>
          </w:tcPr>
          <w:p>
            <w:pPr>
              <w:jc w:val="left"/>
            </w:pPr>
            <w:r>
              <w:rPr>
                <w:rFonts w:ascii="Arial" w:hAnsi="Arial"/>
                <w:b/>
                <w:color w:val="FFFFFF"/>
                <w:sz w:val="19"/>
              </w:rPr>
              <w:t>Positive Rate</w:t>
            </w:r>
          </w:p>
        </w:tc>
      </w:tr>
      <w:tr>
        <w:tc>
          <w:tcPr>
            <w:tcW w:type="dxa" w:w="2160"/>
            <w:shd w:fill="FFFFFF"/>
            <w:tcMar>
              <w:top w:w="100" w:type="dxa"/>
              <w:bottom w:w="100" w:type="dxa"/>
              <w:left w:w="150" w:type="dxa"/>
              <w:right w:w="150" w:type="dxa"/>
            </w:tcMar>
          </w:tcPr>
          <w:p>
            <w:pPr>
              <w:jc w:val="left"/>
            </w:pPr>
            <w:r>
              <w:rPr>
                <w:rFonts w:ascii="Arial" w:hAnsi="Arial"/>
                <w:sz w:val="19"/>
              </w:rPr>
              <w:t>Train</w:t>
            </w:r>
          </w:p>
        </w:tc>
        <w:tc>
          <w:tcPr>
            <w:tcW w:type="dxa" w:w="1872"/>
            <w:shd w:fill="FFFFFF"/>
            <w:tcMar>
              <w:top w:w="100" w:type="dxa"/>
              <w:bottom w:w="100" w:type="dxa"/>
              <w:left w:w="150" w:type="dxa"/>
              <w:right w:w="150" w:type="dxa"/>
            </w:tcMar>
          </w:tcPr>
          <w:p>
            <w:pPr>
              <w:jc w:val="left"/>
            </w:pPr>
            <w:r>
              <w:rPr>
                <w:rFonts w:ascii="Arial" w:hAnsi="Arial"/>
                <w:sz w:val="19"/>
              </w:rPr>
              <w:t>393</w:t>
            </w:r>
          </w:p>
        </w:tc>
        <w:tc>
          <w:tcPr>
            <w:tcW w:type="dxa" w:w="1872"/>
            <w:shd w:fill="FFFFFF"/>
            <w:tcMar>
              <w:top w:w="100" w:type="dxa"/>
              <w:bottom w:w="100" w:type="dxa"/>
              <w:left w:w="150" w:type="dxa"/>
              <w:right w:w="150" w:type="dxa"/>
            </w:tcMar>
          </w:tcPr>
          <w:p>
            <w:pPr>
              <w:jc w:val="left"/>
            </w:pPr>
            <w:r>
              <w:rPr>
                <w:rFonts w:ascii="Arial" w:hAnsi="Arial"/>
                <w:sz w:val="19"/>
              </w:rPr>
              <w:t>312</w:t>
            </w:r>
          </w:p>
        </w:tc>
        <w:tc>
          <w:tcPr>
            <w:tcW w:type="dxa" w:w="1872"/>
            <w:shd w:fill="FFFFFF"/>
            <w:tcMar>
              <w:top w:w="100" w:type="dxa"/>
              <w:bottom w:w="100" w:type="dxa"/>
              <w:left w:w="150" w:type="dxa"/>
              <w:right w:w="150" w:type="dxa"/>
            </w:tcMar>
          </w:tcPr>
          <w:p>
            <w:pPr>
              <w:jc w:val="left"/>
            </w:pPr>
            <w:r>
              <w:rPr>
                <w:rFonts w:ascii="Arial" w:hAnsi="Arial"/>
                <w:sz w:val="19"/>
              </w:rPr>
              <w:t>81</w:t>
            </w:r>
          </w:p>
        </w:tc>
        <w:tc>
          <w:tcPr>
            <w:tcW w:type="dxa" w:w="1584"/>
            <w:shd w:fill="FFFFFF"/>
            <w:tcMar>
              <w:top w:w="100" w:type="dxa"/>
              <w:bottom w:w="100" w:type="dxa"/>
              <w:left w:w="150" w:type="dxa"/>
              <w:right w:w="150" w:type="dxa"/>
            </w:tcMar>
          </w:tcPr>
          <w:p>
            <w:pPr>
              <w:jc w:val="left"/>
            </w:pPr>
            <w:r>
              <w:rPr>
                <w:rFonts w:ascii="Arial" w:hAnsi="Arial"/>
                <w:sz w:val="19"/>
              </w:rPr>
              <w:t>79.4%</w:t>
            </w:r>
          </w:p>
        </w:tc>
      </w:tr>
      <w:tr>
        <w:tc>
          <w:tcPr>
            <w:tcW w:type="dxa" w:w="2160"/>
            <w:shd w:fill="F9F9F9"/>
            <w:tcMar>
              <w:top w:w="100" w:type="dxa"/>
              <w:bottom w:w="100" w:type="dxa"/>
              <w:left w:w="150" w:type="dxa"/>
              <w:right w:w="150" w:type="dxa"/>
            </w:tcMar>
          </w:tcPr>
          <w:p>
            <w:pPr>
              <w:jc w:val="left"/>
            </w:pPr>
            <w:r>
              <w:rPr>
                <w:rFonts w:ascii="Arial" w:hAnsi="Arial"/>
                <w:sz w:val="19"/>
              </w:rPr>
              <w:t>Validation</w:t>
            </w:r>
          </w:p>
        </w:tc>
        <w:tc>
          <w:tcPr>
            <w:tcW w:type="dxa" w:w="1872"/>
            <w:shd w:fill="F9F9F9"/>
            <w:tcMar>
              <w:top w:w="100" w:type="dxa"/>
              <w:bottom w:w="100" w:type="dxa"/>
              <w:left w:w="150" w:type="dxa"/>
              <w:right w:w="150" w:type="dxa"/>
            </w:tcMar>
          </w:tcPr>
          <w:p>
            <w:pPr>
              <w:jc w:val="left"/>
            </w:pPr>
            <w:r>
              <w:rPr>
                <w:rFonts w:ascii="Arial" w:hAnsi="Arial"/>
                <w:sz w:val="19"/>
              </w:rPr>
              <w:t>84</w:t>
            </w:r>
          </w:p>
        </w:tc>
        <w:tc>
          <w:tcPr>
            <w:tcW w:type="dxa" w:w="1872"/>
            <w:shd w:fill="F9F9F9"/>
            <w:tcMar>
              <w:top w:w="100" w:type="dxa"/>
              <w:bottom w:w="100" w:type="dxa"/>
              <w:left w:w="150" w:type="dxa"/>
              <w:right w:w="150" w:type="dxa"/>
            </w:tcMar>
          </w:tcPr>
          <w:p>
            <w:pPr>
              <w:jc w:val="left"/>
            </w:pPr>
            <w:r>
              <w:rPr>
                <w:rFonts w:ascii="Arial" w:hAnsi="Arial"/>
                <w:sz w:val="19"/>
              </w:rPr>
              <w:t>63</w:t>
            </w:r>
          </w:p>
        </w:tc>
        <w:tc>
          <w:tcPr>
            <w:tcW w:type="dxa" w:w="1872"/>
            <w:shd w:fill="F9F9F9"/>
            <w:tcMar>
              <w:top w:w="100" w:type="dxa"/>
              <w:bottom w:w="100" w:type="dxa"/>
              <w:left w:w="150" w:type="dxa"/>
              <w:right w:w="150" w:type="dxa"/>
            </w:tcMar>
          </w:tcPr>
          <w:p>
            <w:pPr>
              <w:jc w:val="left"/>
            </w:pPr>
            <w:r>
              <w:rPr>
                <w:rFonts w:ascii="Arial" w:hAnsi="Arial"/>
                <w:sz w:val="19"/>
              </w:rPr>
              <w:t>21</w:t>
            </w:r>
          </w:p>
        </w:tc>
        <w:tc>
          <w:tcPr>
            <w:tcW w:type="dxa" w:w="1584"/>
            <w:shd w:fill="F9F9F9"/>
            <w:tcMar>
              <w:top w:w="100" w:type="dxa"/>
              <w:bottom w:w="100" w:type="dxa"/>
              <w:left w:w="150" w:type="dxa"/>
              <w:right w:w="150" w:type="dxa"/>
            </w:tcMar>
          </w:tcPr>
          <w:p>
            <w:pPr>
              <w:jc w:val="left"/>
            </w:pPr>
            <w:r>
              <w:rPr>
                <w:rFonts w:ascii="Arial" w:hAnsi="Arial"/>
                <w:sz w:val="19"/>
              </w:rPr>
              <w:t>75.0%</w:t>
            </w:r>
          </w:p>
        </w:tc>
      </w:tr>
      <w:tr>
        <w:tc>
          <w:tcPr>
            <w:tcW w:type="dxa" w:w="2160"/>
            <w:shd w:fill="FFFFFF"/>
            <w:tcMar>
              <w:top w:w="100" w:type="dxa"/>
              <w:bottom w:w="100" w:type="dxa"/>
              <w:left w:w="150" w:type="dxa"/>
              <w:right w:w="150" w:type="dxa"/>
            </w:tcMar>
          </w:tcPr>
          <w:p>
            <w:pPr>
              <w:jc w:val="left"/>
            </w:pPr>
            <w:r>
              <w:rPr>
                <w:rFonts w:ascii="Arial" w:hAnsi="Arial"/>
                <w:sz w:val="19"/>
              </w:rPr>
              <w:t>Test</w:t>
            </w:r>
          </w:p>
        </w:tc>
        <w:tc>
          <w:tcPr>
            <w:tcW w:type="dxa" w:w="1872"/>
            <w:shd w:fill="FFFFFF"/>
            <w:tcMar>
              <w:top w:w="100" w:type="dxa"/>
              <w:bottom w:w="100" w:type="dxa"/>
              <w:left w:w="150" w:type="dxa"/>
              <w:right w:w="150" w:type="dxa"/>
            </w:tcMar>
          </w:tcPr>
          <w:p>
            <w:pPr>
              <w:jc w:val="left"/>
            </w:pPr>
            <w:r>
              <w:rPr>
                <w:rFonts w:ascii="Arial" w:hAnsi="Arial"/>
                <w:sz w:val="19"/>
              </w:rPr>
              <w:t>85</w:t>
            </w:r>
          </w:p>
        </w:tc>
        <w:tc>
          <w:tcPr>
            <w:tcW w:type="dxa" w:w="1872"/>
            <w:shd w:fill="FFFFFF"/>
            <w:tcMar>
              <w:top w:w="100" w:type="dxa"/>
              <w:bottom w:w="100" w:type="dxa"/>
              <w:left w:w="150" w:type="dxa"/>
              <w:right w:w="150" w:type="dxa"/>
            </w:tcMar>
          </w:tcPr>
          <w:p>
            <w:pPr>
              <w:jc w:val="left"/>
            </w:pPr>
            <w:r>
              <w:rPr>
                <w:rFonts w:ascii="Arial" w:hAnsi="Arial"/>
                <w:sz w:val="19"/>
              </w:rPr>
              <w:t>70</w:t>
            </w:r>
          </w:p>
        </w:tc>
        <w:tc>
          <w:tcPr>
            <w:tcW w:type="dxa" w:w="1872"/>
            <w:shd w:fill="FFFFFF"/>
            <w:tcMar>
              <w:top w:w="100" w:type="dxa"/>
              <w:bottom w:w="100" w:type="dxa"/>
              <w:left w:w="150" w:type="dxa"/>
              <w:right w:w="150" w:type="dxa"/>
            </w:tcMar>
          </w:tcPr>
          <w:p>
            <w:pPr>
              <w:jc w:val="left"/>
            </w:pPr>
            <w:r>
              <w:rPr>
                <w:rFonts w:ascii="Arial" w:hAnsi="Arial"/>
                <w:sz w:val="19"/>
              </w:rPr>
              <w:t>15</w:t>
            </w:r>
          </w:p>
        </w:tc>
        <w:tc>
          <w:tcPr>
            <w:tcW w:type="dxa" w:w="1584"/>
            <w:shd w:fill="FFFFFF"/>
            <w:tcMar>
              <w:top w:w="100" w:type="dxa"/>
              <w:bottom w:w="100" w:type="dxa"/>
              <w:left w:w="150" w:type="dxa"/>
              <w:right w:w="150" w:type="dxa"/>
            </w:tcMar>
          </w:tcPr>
          <w:p>
            <w:pPr>
              <w:jc w:val="left"/>
            </w:pPr>
            <w:r>
              <w:rPr>
                <w:rFonts w:ascii="Arial" w:hAnsi="Arial"/>
                <w:sz w:val="19"/>
              </w:rPr>
              <w:t>82.4%</w:t>
            </w:r>
          </w:p>
        </w:tc>
      </w:tr>
      <w:tr>
        <w:tc>
          <w:tcPr>
            <w:tcW w:type="dxa" w:w="2160"/>
            <w:shd w:fill="EAEAEA"/>
            <w:tcMar>
              <w:top w:w="100" w:type="dxa"/>
              <w:bottom w:w="100" w:type="dxa"/>
              <w:left w:w="150" w:type="dxa"/>
              <w:right w:w="150" w:type="dxa"/>
            </w:tcMar>
          </w:tcPr>
          <w:p>
            <w:pPr>
              <w:jc w:val="left"/>
            </w:pPr>
            <w:r>
              <w:rPr>
                <w:rFonts w:ascii="Arial" w:hAnsi="Arial"/>
                <w:b/>
                <w:sz w:val="19"/>
              </w:rPr>
              <w:t>Total Set</w:t>
            </w:r>
          </w:p>
        </w:tc>
        <w:tc>
          <w:tcPr>
            <w:tcW w:type="dxa" w:w="1872"/>
            <w:shd w:fill="EAEAEA"/>
            <w:tcMar>
              <w:top w:w="100" w:type="dxa"/>
              <w:bottom w:w="100" w:type="dxa"/>
              <w:left w:w="150" w:type="dxa"/>
              <w:right w:w="150" w:type="dxa"/>
            </w:tcMar>
          </w:tcPr>
          <w:p>
            <w:pPr>
              <w:jc w:val="left"/>
            </w:pPr>
            <w:r>
              <w:rPr>
                <w:rFonts w:ascii="Arial" w:hAnsi="Arial"/>
                <w:b/>
                <w:sz w:val="19"/>
              </w:rPr>
              <w:t>562</w:t>
            </w:r>
          </w:p>
        </w:tc>
        <w:tc>
          <w:tcPr>
            <w:tcW w:type="dxa" w:w="1872"/>
            <w:shd w:fill="EAEAEA"/>
            <w:tcMar>
              <w:top w:w="100" w:type="dxa"/>
              <w:bottom w:w="100" w:type="dxa"/>
              <w:left w:w="150" w:type="dxa"/>
              <w:right w:w="150" w:type="dxa"/>
            </w:tcMar>
          </w:tcPr>
          <w:p>
            <w:pPr>
              <w:jc w:val="left"/>
            </w:pPr>
            <w:r>
              <w:rPr>
                <w:rFonts w:ascii="Arial" w:hAnsi="Arial"/>
                <w:b/>
                <w:sz w:val="19"/>
              </w:rPr>
              <w:t>445</w:t>
            </w:r>
          </w:p>
        </w:tc>
        <w:tc>
          <w:tcPr>
            <w:tcW w:type="dxa" w:w="1872"/>
            <w:shd w:fill="EAEAEA"/>
            <w:tcMar>
              <w:top w:w="100" w:type="dxa"/>
              <w:bottom w:w="100" w:type="dxa"/>
              <w:left w:w="150" w:type="dxa"/>
              <w:right w:w="150" w:type="dxa"/>
            </w:tcMar>
          </w:tcPr>
          <w:p>
            <w:pPr>
              <w:jc w:val="left"/>
            </w:pPr>
            <w:r>
              <w:rPr>
                <w:rFonts w:ascii="Arial" w:hAnsi="Arial"/>
                <w:b/>
                <w:sz w:val="19"/>
              </w:rPr>
              <w:t>117</w:t>
            </w:r>
          </w:p>
        </w:tc>
        <w:tc>
          <w:tcPr>
            <w:tcW w:type="dxa" w:w="1584"/>
            <w:shd w:fill="EAEAEA"/>
            <w:tcMar>
              <w:top w:w="100" w:type="dxa"/>
              <w:bottom w:w="100" w:type="dxa"/>
              <w:left w:w="150" w:type="dxa"/>
              <w:right w:w="150" w:type="dxa"/>
            </w:tcMar>
          </w:tcPr>
          <w:p>
            <w:pPr>
              <w:jc w:val="left"/>
            </w:pPr>
            <w:r>
              <w:rPr>
                <w:rFonts w:ascii="Arial" w:hAnsi="Arial"/>
                <w:b/>
                <w:sz w:val="19"/>
              </w:rPr>
              <w:t>79.2%</w:t>
            </w:r>
          </w:p>
        </w:tc>
      </w:tr>
    </w:tbl>
    <w:p>
      <w:pPr>
        <w:spacing w:before="0" w:after="120"/>
      </w:pPr>
    </w:p>
    <w:p>
      <w:pPr>
        <w:spacing w:before="120" w:after="60"/>
      </w:pPr>
      <w:r>
        <w:rPr>
          <w:b/>
          <w:sz w:val="20"/>
        </w:rPr>
        <w:t>Jupyter Notebook Splits Partition Verification Log:</w:t>
      </w:r>
    </w:p>
    <w:tbl>
      <w:tblPr>
        <w:tblW w:type="auto" w:w="0"/>
        <w:jc w:val="center"/>
        <w:tblLook w:firstColumn="1" w:firstRow="1" w:lastColumn="0" w:lastRow="0" w:noHBand="0" w:noVBand="1" w:val="04A0"/>
      </w:tblPr>
      <w:tblGrid>
        <w:gridCol w:w="9360"/>
      </w:tblGrid>
      <w:tr>
        <w:tc>
          <w:tcPr>
            <w:tcW w:type="dxa" w:w="8352"/>
            <w:shd w:fill="F5F5F7"/>
            <w:tcMar>
              <w:top w:w="80" w:type="dxa"/>
              <w:bottom w:w="80" w:type="dxa"/>
              <w:left w:w="120" w:type="dxa"/>
              <w:right w:w="120" w:type="dxa"/>
            </w:tcMar>
          </w:tcPr>
          <w:p>
            <w:pPr>
              <w:spacing w:line="276" w:lineRule="auto" w:after="0"/>
            </w:pPr>
            <w:r>
              <w:rPr>
                <w:rFonts w:ascii="Courier New" w:hAnsi="Courier New"/>
                <w:color w:val="1E1E1E"/>
                <w:sz w:val="17"/>
              </w:rPr>
              <w:t>In [5]: # Generate and verify splits</w:t>
              <w:br/>
              <w:t>Drug-level partitions:</w:t>
              <w:br/>
              <w:t xml:space="preserve">  train   : 393 compounds (pos rate: 79.1%)</w:t>
              <w:br/>
              <w:t xml:space="preserve">  test    : 85 compounds (pos rate: 78.8%)</w:t>
              <w:br/>
              <w:t xml:space="preserve">  val     : 84 compounds (pos rate: 79.8%)</w:t>
              <w:br/>
              <w:br/>
              <w:t>Scaffold-level partitions:</w:t>
              <w:br/>
              <w:t xml:space="preserve">  train   : 393 compounds (pos rate: 79.4%)</w:t>
              <w:br/>
              <w:t xml:space="preserve">  test    : 85 compounds (pos rate: 82.4%)</w:t>
              <w:br/>
              <w:t xml:space="preserve">  val     : 84 compounds (pos rate: 75.0%)</w:t>
            </w:r>
          </w:p>
        </w:tc>
      </w:tr>
    </w:tbl>
    <w:p>
      <w:pPr>
        <w:spacing w:after="240"/>
      </w:pPr>
    </w:p>
    <w:p>
      <w:pPr>
        <w:spacing w:after="360"/>
        <w:jc w:val="center"/>
      </w:pPr>
      <w:r>
        <w:drawing>
          <wp:inline xmlns:a="http://schemas.openxmlformats.org/drawingml/2006/main" xmlns:pic="http://schemas.openxmlformats.org/drawingml/2006/picture">
            <wp:extent cx="4114800" cy="2803559"/>
            <wp:docPr id="2" name="Picture 2"/>
            <wp:cNvGraphicFramePr>
              <a:graphicFrameLocks noChangeAspect="1"/>
            </wp:cNvGraphicFramePr>
            <a:graphic>
              <a:graphicData uri="http://schemas.openxmlformats.org/drawingml/2006/picture">
                <pic:pic>
                  <pic:nvPicPr>
                    <pic:cNvPr id="0" name="phase1_splits_distribution.png"/>
                    <pic:cNvPicPr/>
                  </pic:nvPicPr>
                  <pic:blipFill>
                    <a:blip r:embed="rId10"/>
                    <a:stretch>
                      <a:fillRect/>
                    </a:stretch>
                  </pic:blipFill>
                  <pic:spPr>
                    <a:xfrm>
                      <a:off x="0" y="0"/>
                      <a:ext cx="4114800" cy="2803559"/>
                    </a:xfrm>
                    <a:prstGeom prst="rect"/>
                  </pic:spPr>
                </pic:pic>
              </a:graphicData>
            </a:graphic>
          </wp:inline>
        </w:drawing>
      </w:r>
    </w:p>
    <w:p>
      <w:pPr>
        <w:spacing w:after="240"/>
        <w:jc w:val="center"/>
      </w:pPr>
      <w:r>
        <w:rPr>
          <w:i/>
          <w:sz w:val="19"/>
        </w:rPr>
        <w:t>Figure 2: Target partition sizes and positive rates across drug-level and scaffold splits.</w:t>
      </w:r>
    </w:p>
    <w:p>
      <w:pPr>
        <w:spacing w:before="360" w:after="120"/>
      </w:pPr>
      <w:r>
        <w:rPr>
          <w:b/>
          <w:sz w:val="26"/>
        </w:rPr>
        <w:t>3. Scientific Discussion: Will Fusion Refine or Degrade GNN Performance?</w:t>
      </w:r>
    </w:p>
    <w:p>
      <w:pPr>
        <w:spacing w:after="120"/>
      </w:pPr>
      <w:r>
        <w:t>A central question of this research is whether incorporating transcriptomic perturbation signatures (LINCS L1000 via a Transformer encoder) will refine (improve) or degrade the predictive performance of a purely structure-based baseline model (GNN). Based on the dataset properties and structural alerts, we present the following analysis:</w:t>
      </w:r>
    </w:p>
    <w:p>
      <w:pPr>
        <w:pStyle w:val="ListBullet"/>
        <w:spacing w:after="80"/>
      </w:pPr>
      <w:r>
        <w:rPr>
          <w:b/>
          <w:sz w:val="22"/>
        </w:rPr>
        <w:t xml:space="preserve">The Strength of Structural Signatures (GNN): </w:t>
      </w:r>
      <w:r>
        <w:rPr>
          <w:sz w:val="22"/>
        </w:rPr>
        <w:t>Molecular structure provides a highly direct representation of hERG channel binding. Blockade is fundamentally governed by physical interactions (hydrophobic, charge, electrostatic) between the ligand and the hERG pore. As a result, GNNs trained on chemical graphs are historically extremely strong baselines (~0.84 AUC-ROC on DICTrank) and are difficult to outperform.</w:t>
      </w:r>
    </w:p>
    <w:p>
      <w:pPr>
        <w:pStyle w:val="ListBullet"/>
        <w:spacing w:after="80"/>
      </w:pPr>
      <w:r>
        <w:rPr>
          <w:b/>
          <w:sz w:val="22"/>
        </w:rPr>
        <w:t xml:space="preserve">The Risk of Biological Noise (degradation): </w:t>
      </w:r>
      <w:r>
        <w:rPr>
          <w:sz w:val="22"/>
        </w:rPr>
        <w:t>Transcriptomic data (L1000) measures downstream cellular stress signatures (e.g. apoptosis, cell cycle regulation, DNA damage). However, these signatures are cell-line dependent, noisy, and indirect. If a compound is a physical hERG blocker but does not trigger transcription-level stress pathways in the tested conditions, a purely biology-based model will fail. Furthermore, simple concatenation of structural and biological features often allows this noise to leak in, leading to a degradation of the GNN's performance.</w:t>
      </w:r>
    </w:p>
    <w:p>
      <w:pPr>
        <w:pStyle w:val="ListBullet"/>
        <w:spacing w:after="80"/>
      </w:pPr>
      <w:r>
        <w:rPr>
          <w:b/>
          <w:sz w:val="22"/>
        </w:rPr>
        <w:t xml:space="preserve">The Role of Cross-Attention (refinement): </w:t>
      </w:r>
      <w:r>
        <w:rPr>
          <w:sz w:val="22"/>
        </w:rPr>
        <w:t>To prevent biological noise from degrading structural signals, we propose a cross-attention fusion mechanism. Rather than raw concatenation, the structural embedding queries the transcriptomic context. This design allows the GNN to 'filter' the L1000 gene signatures, attending to them only when they align with chemical structure. This selective fusion is expected to refine boundary cases -- compounds where structure is ambiguous but the biological stress response provides the deciding cardiotoxicity signal -- without degrading the GNN's clean structural predictions.</w:t>
      </w:r>
    </w:p>
    <w:p>
      <w:pPr>
        <w:spacing w:before="360" w:after="120"/>
      </w:pPr>
      <w:r>
        <w:rPr>
          <w:b/>
          <w:sz w:val="26"/>
        </w:rPr>
        <w:t>4. Verification and Reproducibility</w:t>
      </w:r>
    </w:p>
    <w:p>
      <w:pPr>
        <w:spacing w:after="240"/>
      </w:pPr>
      <w:r>
        <w:t>All data processing steps are fully automated. The random seed is frozen at 42 in config.py, and both split files are frozen and saved in the repository at data/splits/drug_split.csv and data/splits/scaffold_split.csv. These splits will remain frozen throughout the modeling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