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F54128" w14:textId="6038358D" w:rsidR="003D61D1" w:rsidRPr="003D61D1" w:rsidRDefault="003D61D1" w:rsidP="003D61D1">
      <w:pPr>
        <w:spacing w:after="0"/>
        <w:jc w:val="center"/>
        <w:rPr>
          <w:rFonts w:ascii="Times New Roman" w:eastAsia="Times New Roman" w:hAnsi="Times New Roman" w:cs="Times New Roman"/>
          <w:b/>
          <w:sz w:val="24"/>
          <w:szCs w:val="24"/>
        </w:rPr>
      </w:pPr>
      <w:r w:rsidRPr="003D61D1">
        <w:rPr>
          <w:rFonts w:ascii="Times New Roman" w:eastAsia="Times New Roman" w:hAnsi="Times New Roman" w:cs="Times New Roman"/>
          <w:b/>
          <w:sz w:val="24"/>
          <w:szCs w:val="24"/>
        </w:rPr>
        <w:t xml:space="preserve">COMÉRCIO INTERNACIONAL, DISPONIBILIDADE INTERNA </w:t>
      </w:r>
    </w:p>
    <w:p w14:paraId="20D15441" w14:textId="77777777" w:rsidR="003D61D1" w:rsidRPr="003D61D1" w:rsidRDefault="003D61D1" w:rsidP="003D61D1">
      <w:pPr>
        <w:spacing w:after="0" w:line="240" w:lineRule="auto"/>
        <w:jc w:val="center"/>
        <w:rPr>
          <w:rFonts w:ascii="Times New Roman" w:eastAsia="Times New Roman" w:hAnsi="Times New Roman" w:cs="Times New Roman"/>
          <w:b/>
          <w:sz w:val="24"/>
          <w:szCs w:val="24"/>
        </w:rPr>
      </w:pPr>
      <w:r w:rsidRPr="003D61D1">
        <w:rPr>
          <w:rFonts w:ascii="Times New Roman" w:eastAsia="Times New Roman" w:hAnsi="Times New Roman" w:cs="Times New Roman"/>
          <w:b/>
          <w:sz w:val="24"/>
          <w:szCs w:val="24"/>
        </w:rPr>
        <w:t>E INFLAÇÃO DE ALIMENTOS NO BRASIL, DE 2007 A 2021</w:t>
      </w:r>
    </w:p>
    <w:p w14:paraId="199A0859" w14:textId="77777777" w:rsidR="00E32894" w:rsidRDefault="0083354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05677A2" w14:textId="77777777" w:rsidR="006B57DC" w:rsidRPr="006B57DC" w:rsidRDefault="00CB4C26" w:rsidP="00CB4C26">
      <w:pPr>
        <w:spacing w:after="0"/>
        <w:jc w:val="center"/>
        <w:rPr>
          <w:rFonts w:ascii="Times New Roman" w:eastAsia="Times New Roman" w:hAnsi="Times New Roman" w:cs="Times New Roman"/>
          <w:b/>
          <w:i/>
          <w:iCs/>
          <w:sz w:val="24"/>
          <w:szCs w:val="24"/>
        </w:rPr>
      </w:pPr>
      <w:r w:rsidRPr="006B57DC">
        <w:rPr>
          <w:rFonts w:ascii="Times New Roman" w:eastAsia="Times New Roman" w:hAnsi="Times New Roman" w:cs="Times New Roman"/>
          <w:b/>
          <w:i/>
          <w:iCs/>
          <w:sz w:val="24"/>
          <w:szCs w:val="24"/>
        </w:rPr>
        <w:t xml:space="preserve">INTERNATIONAL TRADE, AVAILABILITY AND INFLATION </w:t>
      </w:r>
    </w:p>
    <w:p w14:paraId="46C3B536" w14:textId="5B8ECCDF" w:rsidR="00CB4C26" w:rsidRPr="006B57DC" w:rsidRDefault="00CB4C26" w:rsidP="00CB4C26">
      <w:pPr>
        <w:spacing w:after="0"/>
        <w:jc w:val="center"/>
        <w:rPr>
          <w:rFonts w:ascii="Times New Roman" w:eastAsia="Times New Roman" w:hAnsi="Times New Roman" w:cs="Times New Roman"/>
          <w:b/>
          <w:i/>
          <w:iCs/>
          <w:sz w:val="24"/>
          <w:szCs w:val="24"/>
        </w:rPr>
      </w:pPr>
      <w:r w:rsidRPr="006B57DC">
        <w:rPr>
          <w:rFonts w:ascii="Times New Roman" w:eastAsia="Times New Roman" w:hAnsi="Times New Roman" w:cs="Times New Roman"/>
          <w:b/>
          <w:i/>
          <w:iCs/>
          <w:sz w:val="24"/>
          <w:szCs w:val="24"/>
        </w:rPr>
        <w:t>OF FOOD PRICES IN BRAZIL FROM 2007 TO 2021</w:t>
      </w:r>
    </w:p>
    <w:p w14:paraId="033A812A" w14:textId="77777777" w:rsidR="00E32894" w:rsidRDefault="00E32894">
      <w:pPr>
        <w:spacing w:after="0" w:line="240" w:lineRule="auto"/>
        <w:jc w:val="center"/>
        <w:rPr>
          <w:rFonts w:ascii="Times New Roman" w:eastAsia="Times New Roman" w:hAnsi="Times New Roman" w:cs="Times New Roman"/>
          <w:b/>
          <w:sz w:val="24"/>
          <w:szCs w:val="24"/>
        </w:rPr>
      </w:pPr>
    </w:p>
    <w:p w14:paraId="7679DD4E" w14:textId="56B31C6A" w:rsidR="002A4CB3" w:rsidRPr="003D61D1" w:rsidRDefault="00833545" w:rsidP="00833545">
      <w:pPr>
        <w:spacing w:after="0" w:line="240" w:lineRule="auto"/>
        <w:jc w:val="both"/>
        <w:rPr>
          <w:bCs/>
          <w:color w:val="000000" w:themeColor="text1"/>
          <w:sz w:val="24"/>
          <w:szCs w:val="24"/>
          <w:vertAlign w:val="superscript"/>
        </w:rPr>
      </w:pPr>
      <w:r>
        <w:rPr>
          <w:rFonts w:ascii="Times New Roman" w:eastAsia="Times New Roman" w:hAnsi="Times New Roman" w:cs="Times New Roman"/>
          <w:b/>
          <w:sz w:val="24"/>
          <w:szCs w:val="24"/>
        </w:rPr>
        <w:t>Autores</w:t>
      </w:r>
      <w:r w:rsidR="002A4CB3">
        <w:rPr>
          <w:rFonts w:ascii="Times New Roman" w:eastAsia="Times New Roman" w:hAnsi="Times New Roman" w:cs="Times New Roman"/>
          <w:b/>
          <w:sz w:val="24"/>
          <w:szCs w:val="24"/>
        </w:rPr>
        <w:t xml:space="preserve">: </w:t>
      </w:r>
      <w:r w:rsidR="002A4CB3" w:rsidRPr="003D61D1">
        <w:rPr>
          <w:rFonts w:ascii="Times New Roman" w:eastAsia="Times New Roman" w:hAnsi="Times New Roman" w:cs="Times New Roman"/>
          <w:bCs/>
          <w:sz w:val="24"/>
          <w:szCs w:val="24"/>
        </w:rPr>
        <w:t>José Giacomo Baccarin</w:t>
      </w:r>
      <w:r w:rsidR="003D61D1">
        <w:rPr>
          <w:rFonts w:ascii="Times New Roman" w:eastAsia="Times New Roman" w:hAnsi="Times New Roman" w:cs="Times New Roman"/>
          <w:bCs/>
          <w:sz w:val="24"/>
          <w:szCs w:val="24"/>
        </w:rPr>
        <w:t>*</w:t>
      </w:r>
      <w:r w:rsidR="002A4CB3" w:rsidRPr="003D61D1">
        <w:rPr>
          <w:rFonts w:ascii="Times New Roman" w:eastAsia="Times New Roman" w:hAnsi="Times New Roman" w:cs="Times New Roman"/>
          <w:bCs/>
          <w:sz w:val="24"/>
          <w:szCs w:val="24"/>
        </w:rPr>
        <w:t>, Sergio Rangel Fernandes Figueira</w:t>
      </w:r>
      <w:r w:rsidR="003D61D1">
        <w:rPr>
          <w:rFonts w:ascii="Times New Roman" w:eastAsia="Times New Roman" w:hAnsi="Times New Roman" w:cs="Times New Roman"/>
          <w:bCs/>
          <w:sz w:val="24"/>
          <w:szCs w:val="24"/>
        </w:rPr>
        <w:t>*</w:t>
      </w:r>
      <w:r w:rsidR="002A4CB3" w:rsidRPr="003D61D1">
        <w:rPr>
          <w:rFonts w:ascii="Times New Roman" w:eastAsia="Times New Roman" w:hAnsi="Times New Roman" w:cs="Times New Roman"/>
          <w:bCs/>
          <w:sz w:val="24"/>
          <w:szCs w:val="24"/>
        </w:rPr>
        <w:t>, João Pedro Simões Magro</w:t>
      </w:r>
      <w:r w:rsidR="003D61D1">
        <w:rPr>
          <w:rFonts w:ascii="Times New Roman" w:eastAsia="Times New Roman" w:hAnsi="Times New Roman" w:cs="Times New Roman"/>
          <w:bCs/>
          <w:sz w:val="24"/>
          <w:szCs w:val="24"/>
        </w:rPr>
        <w:t>**</w:t>
      </w:r>
      <w:r w:rsidR="006B57DC">
        <w:rPr>
          <w:rFonts w:ascii="Times New Roman" w:eastAsia="Times New Roman" w:hAnsi="Times New Roman" w:cs="Times New Roman"/>
          <w:bCs/>
          <w:sz w:val="24"/>
          <w:szCs w:val="24"/>
        </w:rPr>
        <w:t xml:space="preserve"> e</w:t>
      </w:r>
      <w:r w:rsidR="002A4CB3" w:rsidRPr="003D61D1">
        <w:rPr>
          <w:rFonts w:ascii="Times New Roman" w:eastAsia="Times New Roman" w:hAnsi="Times New Roman" w:cs="Times New Roman"/>
          <w:bCs/>
          <w:sz w:val="24"/>
          <w:szCs w:val="24"/>
        </w:rPr>
        <w:t xml:space="preserve"> Gustavo Jun Yakushiji</w:t>
      </w:r>
      <w:r w:rsidR="003D61D1">
        <w:rPr>
          <w:rFonts w:ascii="Times New Roman" w:eastAsia="Times New Roman" w:hAnsi="Times New Roman" w:cs="Times New Roman"/>
          <w:bCs/>
          <w:sz w:val="24"/>
          <w:szCs w:val="24"/>
        </w:rPr>
        <w:t>***</w:t>
      </w:r>
    </w:p>
    <w:p w14:paraId="3C2BEA41" w14:textId="77777777" w:rsidR="00E32894" w:rsidRDefault="00833545">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Filiação</w:t>
      </w:r>
      <w:r w:rsidR="003D61D1">
        <w:rPr>
          <w:rFonts w:ascii="Times New Roman" w:eastAsia="Times New Roman" w:hAnsi="Times New Roman" w:cs="Times New Roman"/>
          <w:b/>
          <w:sz w:val="24"/>
          <w:szCs w:val="24"/>
        </w:rPr>
        <w:t xml:space="preserve">: </w:t>
      </w:r>
      <w:r w:rsidR="003D61D1" w:rsidRPr="003D61D1">
        <w:rPr>
          <w:rFonts w:ascii="Times New Roman" w:eastAsia="Times New Roman" w:hAnsi="Times New Roman" w:cs="Times New Roman"/>
          <w:bCs/>
          <w:sz w:val="24"/>
          <w:szCs w:val="24"/>
        </w:rPr>
        <w:t>*UNESP, **UNICAMP, ***USP</w:t>
      </w:r>
    </w:p>
    <w:p w14:paraId="7BC6A630" w14:textId="7063CA41" w:rsidR="00E32894" w:rsidRDefault="00833545">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E-mail</w:t>
      </w:r>
      <w:r w:rsidR="003D61D1">
        <w:rPr>
          <w:rFonts w:ascii="Times New Roman" w:eastAsia="Times New Roman" w:hAnsi="Times New Roman" w:cs="Times New Roman"/>
          <w:b/>
          <w:sz w:val="24"/>
          <w:szCs w:val="24"/>
        </w:rPr>
        <w:t xml:space="preserve">: </w:t>
      </w:r>
      <w:hyperlink r:id="rId7" w:history="1">
        <w:r w:rsidR="003D61D1" w:rsidRPr="003D61D1">
          <w:rPr>
            <w:rStyle w:val="Hyperlink"/>
            <w:rFonts w:ascii="Times New Roman" w:eastAsia="Times New Roman" w:hAnsi="Times New Roman" w:cs="Times New Roman"/>
            <w:bCs/>
            <w:color w:val="auto"/>
            <w:sz w:val="24"/>
            <w:szCs w:val="24"/>
          </w:rPr>
          <w:t>jose.baccarin@unesp.br</w:t>
        </w:r>
      </w:hyperlink>
      <w:r w:rsidR="003D61D1" w:rsidRPr="003D61D1">
        <w:rPr>
          <w:rFonts w:ascii="Times New Roman" w:eastAsia="Times New Roman" w:hAnsi="Times New Roman" w:cs="Times New Roman"/>
          <w:bCs/>
          <w:sz w:val="24"/>
          <w:szCs w:val="24"/>
        </w:rPr>
        <w:t xml:space="preserve">; </w:t>
      </w:r>
      <w:hyperlink r:id="rId8" w:history="1">
        <w:r w:rsidR="003D61D1" w:rsidRPr="003D61D1">
          <w:rPr>
            <w:rStyle w:val="Hyperlink"/>
            <w:rFonts w:ascii="Times New Roman" w:eastAsia="Times New Roman" w:hAnsi="Times New Roman" w:cs="Times New Roman"/>
            <w:bCs/>
            <w:color w:val="auto"/>
            <w:sz w:val="24"/>
            <w:szCs w:val="24"/>
          </w:rPr>
          <w:t>sergio.rf.figueira@unesp.br</w:t>
        </w:r>
      </w:hyperlink>
      <w:r w:rsidR="003D61D1" w:rsidRPr="003D61D1">
        <w:rPr>
          <w:rFonts w:ascii="Times New Roman" w:eastAsia="Times New Roman" w:hAnsi="Times New Roman" w:cs="Times New Roman"/>
          <w:bCs/>
          <w:sz w:val="24"/>
          <w:szCs w:val="24"/>
        </w:rPr>
        <w:t xml:space="preserve">; </w:t>
      </w:r>
      <w:hyperlink r:id="rId9" w:history="1">
        <w:r w:rsidR="00181AD9" w:rsidRPr="00181AD9">
          <w:rPr>
            <w:rStyle w:val="Hyperlink"/>
            <w:rFonts w:ascii="Times New Roman" w:eastAsia="Times New Roman" w:hAnsi="Times New Roman" w:cs="Times New Roman"/>
            <w:bCs/>
            <w:color w:val="auto"/>
            <w:sz w:val="24"/>
            <w:szCs w:val="24"/>
          </w:rPr>
          <w:t>jpsmagro@gmail.com</w:t>
        </w:r>
      </w:hyperlink>
      <w:r w:rsidR="003D61D1" w:rsidRPr="003D61D1">
        <w:rPr>
          <w:rFonts w:ascii="Times New Roman" w:eastAsia="Times New Roman" w:hAnsi="Times New Roman" w:cs="Times New Roman"/>
          <w:bCs/>
          <w:sz w:val="24"/>
          <w:szCs w:val="24"/>
        </w:rPr>
        <w:t xml:space="preserve">; </w:t>
      </w:r>
      <w:r w:rsidR="00B15EDC" w:rsidRPr="00B15EDC">
        <w:rPr>
          <w:rFonts w:ascii="Times New Roman" w:eastAsia="Times New Roman" w:hAnsi="Times New Roman" w:cs="Times New Roman"/>
          <w:bCs/>
          <w:sz w:val="24"/>
          <w:szCs w:val="24"/>
          <w:u w:val="single"/>
        </w:rPr>
        <w:t>gjyakushiji@gmail.</w:t>
      </w:r>
      <w:r w:rsidR="00B15EDC" w:rsidRPr="00B15EDC">
        <w:rPr>
          <w:rStyle w:val="Hyperlink"/>
          <w:rFonts w:ascii="Times New Roman" w:eastAsia="Times New Roman" w:hAnsi="Times New Roman" w:cs="Times New Roman"/>
          <w:bCs/>
          <w:color w:val="auto"/>
          <w:sz w:val="24"/>
          <w:szCs w:val="24"/>
        </w:rPr>
        <w:t>com</w:t>
      </w:r>
      <w:r w:rsidR="006B57DC">
        <w:rPr>
          <w:rStyle w:val="Hyperlink"/>
          <w:rFonts w:ascii="Times New Roman" w:eastAsia="Times New Roman" w:hAnsi="Times New Roman" w:cs="Times New Roman"/>
          <w:bCs/>
          <w:color w:val="auto"/>
          <w:sz w:val="24"/>
          <w:szCs w:val="24"/>
        </w:rPr>
        <w:t>.</w:t>
      </w:r>
    </w:p>
    <w:p w14:paraId="205BFE5E" w14:textId="77777777" w:rsidR="00E32894" w:rsidRDefault="00B90028">
      <w:pPr>
        <w:spacing w:after="0" w:line="240" w:lineRule="auto"/>
        <w:jc w:val="center"/>
        <w:rPr>
          <w:rFonts w:ascii="Times New Roman" w:eastAsia="Times New Roman" w:hAnsi="Times New Roman" w:cs="Times New Roman"/>
          <w:sz w:val="24"/>
          <w:szCs w:val="24"/>
        </w:rPr>
      </w:pPr>
      <w:r w:rsidRPr="00B90028">
        <w:rPr>
          <w:rFonts w:ascii="Times New Roman" w:eastAsia="Times New Roman" w:hAnsi="Times New Roman" w:cs="Times New Roman"/>
          <w:b/>
          <w:sz w:val="24"/>
          <w:szCs w:val="24"/>
        </w:rPr>
        <w:t>GT10. Abastecimento, segurança alimentar e nutricional e dinâmicas de consumo</w:t>
      </w:r>
    </w:p>
    <w:p w14:paraId="043A1D57" w14:textId="77777777" w:rsidR="00B90028" w:rsidRDefault="00B90028">
      <w:pPr>
        <w:spacing w:after="0" w:line="240" w:lineRule="auto"/>
        <w:jc w:val="both"/>
        <w:rPr>
          <w:rFonts w:ascii="Times New Roman" w:eastAsia="Times New Roman" w:hAnsi="Times New Roman" w:cs="Times New Roman"/>
          <w:b/>
          <w:sz w:val="20"/>
          <w:szCs w:val="20"/>
        </w:rPr>
      </w:pPr>
    </w:p>
    <w:p w14:paraId="44844721" w14:textId="77777777" w:rsidR="00E32894" w:rsidRDefault="00833545" w:rsidP="004940D1">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Resumo</w:t>
      </w:r>
    </w:p>
    <w:p w14:paraId="21A9A37E" w14:textId="77698B2F" w:rsidR="00B90028" w:rsidRDefault="00B90028" w:rsidP="0068174A">
      <w:pPr>
        <w:spacing w:after="0" w:line="240" w:lineRule="auto"/>
        <w:jc w:val="both"/>
        <w:rPr>
          <w:bCs/>
          <w:color w:val="000000" w:themeColor="text1"/>
          <w:szCs w:val="24"/>
          <w:shd w:val="clear" w:color="auto" w:fill="FFFFFF"/>
        </w:rPr>
      </w:pPr>
      <w:r w:rsidRPr="00B90028">
        <w:rPr>
          <w:rFonts w:ascii="Times New Roman" w:eastAsia="Times New Roman" w:hAnsi="Times New Roman" w:cs="Times New Roman"/>
          <w:bCs/>
          <w:sz w:val="20"/>
          <w:szCs w:val="20"/>
        </w:rPr>
        <w:t xml:space="preserve">Entre 2007 e 2021, foi constatada no Brasil a inflação de alimentos, com seus preços subindo relativamente mais que outros conjuntos de preços ao consumidor. O objetivo do artigo é analisar como o nível de abertura comercial de 19 cadeias agroalimentares no Brasil influenciou na disponibilidade interna agrícola/agroindustrial e na variação de preço ao consumidor de seus respectivos produtos, entre 2007 e 2021. A hipótese adotada é que o aumento das exportações líquidas de alimentos pelo Brasil no século XXI, em período marcado por preços internacionais altos, contribuiu para elevar, diretamente, os preços agrícolas dos comercializáveis e de alimentos derivados e, indiretamente, dos não comercializáveis. Usaram-se dados estatísticos de diferentes fontes oficiais, especialmente do </w:t>
      </w:r>
      <w:r w:rsidR="0068174A" w:rsidRPr="0068174A">
        <w:rPr>
          <w:rFonts w:ascii="Times New Roman" w:eastAsia="Times New Roman" w:hAnsi="Times New Roman" w:cs="Times New Roman"/>
          <w:bCs/>
          <w:sz w:val="20"/>
          <w:szCs w:val="20"/>
        </w:rPr>
        <w:t xml:space="preserve">Instituto Brasileiro de Geografia e Estatística </w:t>
      </w:r>
      <w:r w:rsidR="0068174A">
        <w:rPr>
          <w:rFonts w:ascii="Times New Roman" w:eastAsia="Times New Roman" w:hAnsi="Times New Roman" w:cs="Times New Roman"/>
          <w:bCs/>
          <w:sz w:val="20"/>
          <w:szCs w:val="20"/>
        </w:rPr>
        <w:t>(</w:t>
      </w:r>
      <w:r w:rsidRPr="00B90028">
        <w:rPr>
          <w:rFonts w:ascii="Times New Roman" w:eastAsia="Times New Roman" w:hAnsi="Times New Roman" w:cs="Times New Roman"/>
          <w:bCs/>
          <w:sz w:val="20"/>
          <w:szCs w:val="20"/>
        </w:rPr>
        <w:t>IBGE</w:t>
      </w:r>
      <w:r w:rsidR="0068174A">
        <w:rPr>
          <w:rFonts w:ascii="Times New Roman" w:eastAsia="Times New Roman" w:hAnsi="Times New Roman" w:cs="Times New Roman"/>
          <w:bCs/>
          <w:sz w:val="20"/>
          <w:szCs w:val="20"/>
        </w:rPr>
        <w:t>)</w:t>
      </w:r>
      <w:r w:rsidRPr="00B90028">
        <w:rPr>
          <w:rFonts w:ascii="Times New Roman" w:eastAsia="Times New Roman" w:hAnsi="Times New Roman" w:cs="Times New Roman"/>
          <w:bCs/>
          <w:sz w:val="20"/>
          <w:szCs w:val="20"/>
        </w:rPr>
        <w:t>, procurando conciliar informações de três bases de dados: fluxos comerciais, produção nacional e variação de preços dos alimentos no domicílio. As 19 cadeias analisadas foram classificadas em comercializáveis, medianamente comercializáveis e não comercializáveis. As primeiras tiveram melhor desempenho quanto à disponibilidade interna e menor aumento de preços ao consumidor. O maior aumento médio de preços se verificou justamente nas cadeias dos não comercializáveis. Contudo, nos anos sob a pandemia da covid</w:t>
      </w:r>
      <w:r w:rsidR="0068174A">
        <w:rPr>
          <w:rFonts w:ascii="Times New Roman" w:eastAsia="Times New Roman" w:hAnsi="Times New Roman" w:cs="Times New Roman"/>
          <w:bCs/>
          <w:sz w:val="20"/>
          <w:szCs w:val="20"/>
        </w:rPr>
        <w:t>-</w:t>
      </w:r>
      <w:r w:rsidRPr="00B90028">
        <w:rPr>
          <w:rFonts w:ascii="Times New Roman" w:eastAsia="Times New Roman" w:hAnsi="Times New Roman" w:cs="Times New Roman"/>
          <w:bCs/>
          <w:sz w:val="20"/>
          <w:szCs w:val="20"/>
        </w:rPr>
        <w:t xml:space="preserve">19, em 2020 e 2021, os preços dos comercializáveis tiveram aumento médio maior. Confirmando parcialmente a hipótese levantada, os resultados obtidos </w:t>
      </w:r>
      <w:r w:rsidR="006B57DC">
        <w:rPr>
          <w:rFonts w:ascii="Times New Roman" w:eastAsia="Times New Roman" w:hAnsi="Times New Roman" w:cs="Times New Roman"/>
          <w:bCs/>
          <w:sz w:val="20"/>
          <w:szCs w:val="20"/>
        </w:rPr>
        <w:t xml:space="preserve">no </w:t>
      </w:r>
      <w:r w:rsidRPr="00B90028">
        <w:rPr>
          <w:rFonts w:ascii="Times New Roman" w:eastAsia="Times New Roman" w:hAnsi="Times New Roman" w:cs="Times New Roman"/>
          <w:bCs/>
          <w:sz w:val="20"/>
          <w:szCs w:val="20"/>
        </w:rPr>
        <w:t>artigo apontam que a influência dos exportáveis sobre a inflação de alimentos no Brasil não de</w:t>
      </w:r>
      <w:r w:rsidR="006B57DC">
        <w:rPr>
          <w:rFonts w:ascii="Times New Roman" w:eastAsia="Times New Roman" w:hAnsi="Times New Roman" w:cs="Times New Roman"/>
          <w:bCs/>
          <w:sz w:val="20"/>
          <w:szCs w:val="20"/>
        </w:rPr>
        <w:t>pendeu tanto</w:t>
      </w:r>
      <w:r w:rsidRPr="00B90028">
        <w:rPr>
          <w:rFonts w:ascii="Times New Roman" w:eastAsia="Times New Roman" w:hAnsi="Times New Roman" w:cs="Times New Roman"/>
          <w:bCs/>
          <w:sz w:val="20"/>
          <w:szCs w:val="20"/>
        </w:rPr>
        <w:t xml:space="preserve"> da elevação de seus preços, mas se deu de maneira indireta. O maior dinamismo externo de algumas cadeias dificultou a elevação da produção e o abastecimento do mercado interno no caso dos produtos com comércio exterior menos significativo</w:t>
      </w:r>
      <w:r>
        <w:rPr>
          <w:bCs/>
          <w:color w:val="000000" w:themeColor="text1"/>
          <w:szCs w:val="24"/>
          <w:shd w:val="clear" w:color="auto" w:fill="FFFFFF"/>
        </w:rPr>
        <w:t>.</w:t>
      </w:r>
    </w:p>
    <w:p w14:paraId="03F1DED6" w14:textId="77777777" w:rsidR="00B90028" w:rsidRDefault="00833545" w:rsidP="004940D1">
      <w:pPr>
        <w:spacing w:after="0" w:line="240" w:lineRule="auto"/>
        <w:jc w:val="both"/>
        <w:rPr>
          <w:rFonts w:ascii="Times New Roman" w:eastAsia="Times New Roman" w:hAnsi="Times New Roman" w:cs="Times New Roman"/>
          <w:bCs/>
          <w:sz w:val="20"/>
          <w:szCs w:val="20"/>
        </w:rPr>
      </w:pPr>
      <w:r>
        <w:rPr>
          <w:rFonts w:ascii="Times New Roman" w:eastAsia="Times New Roman" w:hAnsi="Times New Roman" w:cs="Times New Roman"/>
          <w:b/>
          <w:sz w:val="20"/>
          <w:szCs w:val="20"/>
        </w:rPr>
        <w:t>Palavras-chave</w:t>
      </w:r>
      <w:r>
        <w:rPr>
          <w:rFonts w:ascii="Times New Roman" w:eastAsia="Times New Roman" w:hAnsi="Times New Roman" w:cs="Times New Roman"/>
          <w:sz w:val="20"/>
          <w:szCs w:val="20"/>
        </w:rPr>
        <w:t xml:space="preserve">: </w:t>
      </w:r>
      <w:r w:rsidR="00B90028" w:rsidRPr="00B90028">
        <w:rPr>
          <w:rFonts w:ascii="Times New Roman" w:eastAsia="Times New Roman" w:hAnsi="Times New Roman" w:cs="Times New Roman"/>
          <w:bCs/>
          <w:sz w:val="20"/>
          <w:szCs w:val="20"/>
        </w:rPr>
        <w:t xml:space="preserve">Disponibilidade </w:t>
      </w:r>
      <w:r w:rsidR="00B90028" w:rsidRPr="0068174A">
        <w:rPr>
          <w:rFonts w:ascii="Times New Roman" w:eastAsia="Times New Roman" w:hAnsi="Times New Roman" w:cs="Times New Roman"/>
          <w:bCs/>
          <w:i/>
          <w:iCs/>
          <w:sz w:val="20"/>
          <w:szCs w:val="20"/>
        </w:rPr>
        <w:t>per capita</w:t>
      </w:r>
      <w:r w:rsidR="00B90028" w:rsidRPr="00B90028">
        <w:rPr>
          <w:rFonts w:ascii="Times New Roman" w:eastAsia="Times New Roman" w:hAnsi="Times New Roman" w:cs="Times New Roman"/>
          <w:bCs/>
          <w:sz w:val="20"/>
          <w:szCs w:val="20"/>
        </w:rPr>
        <w:t>, IPCA, Comércio exterior agrícola, Produtos agropecuários.</w:t>
      </w:r>
    </w:p>
    <w:p w14:paraId="70FE64D9" w14:textId="77777777" w:rsidR="00B90028" w:rsidRPr="00B90028" w:rsidRDefault="00B90028" w:rsidP="004940D1">
      <w:pPr>
        <w:spacing w:after="0" w:line="240" w:lineRule="auto"/>
        <w:jc w:val="both"/>
        <w:rPr>
          <w:rFonts w:ascii="Times New Roman" w:eastAsia="Times New Roman" w:hAnsi="Times New Roman" w:cs="Times New Roman"/>
          <w:b/>
          <w:sz w:val="20"/>
          <w:szCs w:val="20"/>
        </w:rPr>
      </w:pPr>
      <w:bookmarkStart w:id="0" w:name="_Hlk126135753"/>
      <w:r w:rsidRPr="00B90028">
        <w:rPr>
          <w:rFonts w:ascii="Times New Roman" w:eastAsia="Times New Roman" w:hAnsi="Times New Roman" w:cs="Times New Roman"/>
          <w:b/>
          <w:sz w:val="20"/>
          <w:szCs w:val="20"/>
        </w:rPr>
        <w:t xml:space="preserve">Abstract: </w:t>
      </w:r>
    </w:p>
    <w:p w14:paraId="6A6FC002" w14:textId="77777777" w:rsidR="00B90028" w:rsidRPr="00B90028" w:rsidRDefault="00B90028" w:rsidP="004940D1">
      <w:pPr>
        <w:spacing w:after="0" w:line="240" w:lineRule="auto"/>
        <w:jc w:val="both"/>
        <w:rPr>
          <w:rFonts w:ascii="Times New Roman" w:eastAsia="Times New Roman" w:hAnsi="Times New Roman" w:cs="Times New Roman"/>
          <w:bCs/>
          <w:sz w:val="20"/>
          <w:szCs w:val="20"/>
        </w:rPr>
      </w:pPr>
      <w:r w:rsidRPr="00B90028">
        <w:rPr>
          <w:rFonts w:ascii="Times New Roman" w:eastAsia="Times New Roman" w:hAnsi="Times New Roman" w:cs="Times New Roman"/>
          <w:bCs/>
          <w:sz w:val="20"/>
          <w:szCs w:val="20"/>
        </w:rPr>
        <w:t>Between 2007 and 2021, food inflation has been noted in Brazil, with food prices rising relatively more than other consumer price sets. The objective of the paper is to analyze how the level of trade opening of 19 agricultural chains in Brazil influenced the domestic agricultural/agroindustry availability and the consumer price variation of their respective products, between 2007 and 2021. The hypothesis adopted is that the increase in Brazil's net food exports in the 21st century, in a period marked by high international prices, has contributed to raising, directly, the agricultural prices of the tradables and derivative foodstuffs, and, indirectly, of non-tradable foodstuffs. Statistical data from different official sources were used, especially from the Instituto Brasileiro de Geografia e Estatística (IBGE), trying to reconcile information from three databases: trade flows, national production, and variation in domestic food prices. The 19 chains analyzed were classified as tradable, medium tradable, and non-tradable. The first ones performed better in terms of domestic availability and lower consumer price increases. The highest average price increase occurred in the non-tradable chains. However, in 2020 and 2021, during the pandemic years of covid-19, the prices of tradables had higher average increases. Partially confirming the hypothesis raised, the results obtained in this paper indicate that the influence of exportables on food inflation in Brazil was not due to the increase in their prices but occurred indirectly. The greater external dynamism of some agricultural chains has made it difficult to increase production and supply the domestic market in the case of products with less significant foreign trade.</w:t>
      </w:r>
    </w:p>
    <w:bookmarkEnd w:id="0"/>
    <w:p w14:paraId="5C25EB36" w14:textId="77777777" w:rsidR="00B90028" w:rsidRPr="00B90028" w:rsidRDefault="00B90028" w:rsidP="004940D1">
      <w:pPr>
        <w:spacing w:after="0" w:line="240" w:lineRule="auto"/>
        <w:jc w:val="both"/>
        <w:rPr>
          <w:rFonts w:ascii="Times New Roman" w:eastAsia="Times New Roman" w:hAnsi="Times New Roman" w:cs="Times New Roman"/>
          <w:bCs/>
          <w:sz w:val="20"/>
          <w:szCs w:val="20"/>
        </w:rPr>
      </w:pPr>
      <w:r w:rsidRPr="00B90028">
        <w:rPr>
          <w:rFonts w:ascii="Times New Roman" w:eastAsia="Times New Roman" w:hAnsi="Times New Roman" w:cs="Times New Roman"/>
          <w:b/>
          <w:sz w:val="20"/>
          <w:szCs w:val="20"/>
        </w:rPr>
        <w:t>Keywords:</w:t>
      </w:r>
      <w:r w:rsidRPr="00B90028">
        <w:rPr>
          <w:rFonts w:ascii="Times New Roman" w:eastAsia="Times New Roman" w:hAnsi="Times New Roman" w:cs="Times New Roman"/>
          <w:bCs/>
          <w:sz w:val="20"/>
          <w:szCs w:val="20"/>
        </w:rPr>
        <w:t xml:space="preserve"> </w:t>
      </w:r>
      <w:r w:rsidRPr="0068174A">
        <w:rPr>
          <w:rFonts w:ascii="Times New Roman" w:eastAsia="Times New Roman" w:hAnsi="Times New Roman" w:cs="Times New Roman"/>
          <w:bCs/>
          <w:i/>
          <w:iCs/>
          <w:sz w:val="20"/>
          <w:szCs w:val="20"/>
        </w:rPr>
        <w:t>Per capita</w:t>
      </w:r>
      <w:r w:rsidRPr="00B90028">
        <w:rPr>
          <w:rFonts w:ascii="Times New Roman" w:eastAsia="Times New Roman" w:hAnsi="Times New Roman" w:cs="Times New Roman"/>
          <w:bCs/>
          <w:sz w:val="20"/>
          <w:szCs w:val="20"/>
        </w:rPr>
        <w:t xml:space="preserve"> </w:t>
      </w:r>
      <w:r w:rsidRPr="004940D1">
        <w:rPr>
          <w:rFonts w:ascii="Times New Roman" w:eastAsia="Times New Roman" w:hAnsi="Times New Roman" w:cs="Times New Roman"/>
          <w:bCs/>
          <w:sz w:val="20"/>
          <w:szCs w:val="20"/>
        </w:rPr>
        <w:t>availability, IPCA, Agricultural foreign trade, Agricultural products.</w:t>
      </w:r>
    </w:p>
    <w:p w14:paraId="35BD5255" w14:textId="77777777" w:rsidR="00E32894" w:rsidRDefault="00833545">
      <w:pPr>
        <w:keepNext/>
        <w:spacing w:after="0" w:line="240" w:lineRule="auto"/>
        <w:jc w:val="both"/>
        <w:rPr>
          <w:rFonts w:ascii="Times New Roman" w:eastAsia="Times New Roman" w:hAnsi="Times New Roman" w:cs="Times New Roman"/>
          <w:smallCaps/>
          <w:sz w:val="24"/>
          <w:szCs w:val="24"/>
        </w:rPr>
      </w:pPr>
      <w:r>
        <w:rPr>
          <w:rFonts w:ascii="Times New Roman" w:eastAsia="Times New Roman" w:hAnsi="Times New Roman" w:cs="Times New Roman"/>
          <w:b/>
          <w:smallCaps/>
          <w:sz w:val="24"/>
          <w:szCs w:val="24"/>
        </w:rPr>
        <w:lastRenderedPageBreak/>
        <w:t xml:space="preserve">1. </w:t>
      </w:r>
      <w:r>
        <w:rPr>
          <w:rFonts w:ascii="Times New Roman" w:eastAsia="Times New Roman" w:hAnsi="Times New Roman" w:cs="Times New Roman"/>
          <w:b/>
          <w:sz w:val="24"/>
          <w:szCs w:val="24"/>
        </w:rPr>
        <w:t>Introdução</w:t>
      </w:r>
    </w:p>
    <w:p w14:paraId="3B0C46F1" w14:textId="7CD176A7" w:rsidR="00B90028" w:rsidRPr="00B16FAF" w:rsidRDefault="00B90028" w:rsidP="00B90028">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Neste artigo</w:t>
      </w:r>
      <w:r>
        <w:rPr>
          <w:bCs/>
          <w:color w:val="000000" w:themeColor="text1"/>
          <w:szCs w:val="24"/>
          <w:shd w:val="clear" w:color="auto" w:fill="FFFFFF"/>
        </w:rPr>
        <w:t>,</w:t>
      </w:r>
      <w:r w:rsidRPr="006A51CE">
        <w:rPr>
          <w:bCs/>
          <w:color w:val="000000" w:themeColor="text1"/>
          <w:szCs w:val="24"/>
          <w:shd w:val="clear" w:color="auto" w:fill="FFFFFF"/>
        </w:rPr>
        <w:t xml:space="preserve"> propõe-se estudar os efeitos do comércio internacional sobre a disponibilidade interna e a variação de preços ao consumidor de alimentos no Brasil, entre 2007 e 2021. No período</w:t>
      </w:r>
      <w:r>
        <w:rPr>
          <w:bCs/>
          <w:color w:val="000000" w:themeColor="text1"/>
          <w:szCs w:val="24"/>
          <w:shd w:val="clear" w:color="auto" w:fill="FFFFFF"/>
        </w:rPr>
        <w:t>,</w:t>
      </w:r>
      <w:r w:rsidRPr="006A51CE">
        <w:rPr>
          <w:bCs/>
          <w:color w:val="000000" w:themeColor="text1"/>
          <w:szCs w:val="24"/>
          <w:shd w:val="clear" w:color="auto" w:fill="FFFFFF"/>
        </w:rPr>
        <w:t xml:space="preserve"> ficou caracterizada a chamada inflação de alimentos, com seus preços crescendo, quase ininterruptamente, em relação aos demais bens de consumo. De 2007 a 2019, o Índice de Preços de Alimentação e Bebidas (IPAB) se elevou em 155,7%, enquanto o Índice </w:t>
      </w:r>
      <w:r w:rsidRPr="00B16FAF">
        <w:rPr>
          <w:bCs/>
          <w:color w:val="000000" w:themeColor="text1"/>
          <w:szCs w:val="24"/>
          <w:shd w:val="clear" w:color="auto" w:fill="FFFFFF"/>
        </w:rPr>
        <w:t>de Preços ao Consumidor Amplo (IPCA) - que inclui o IPAB, além de outros oito grupos de produtos e serviços ao consumidor - cresceu 103,5% (IBGE, 2022</w:t>
      </w:r>
      <w:r w:rsidR="00B16FAF" w:rsidRPr="00B16FAF">
        <w:rPr>
          <w:bCs/>
          <w:color w:val="000000" w:themeColor="text1"/>
          <w:szCs w:val="24"/>
          <w:shd w:val="clear" w:color="auto" w:fill="FFFFFF"/>
        </w:rPr>
        <w:t>b</w:t>
      </w:r>
      <w:r w:rsidRPr="00B16FAF">
        <w:rPr>
          <w:bCs/>
          <w:color w:val="000000" w:themeColor="text1"/>
          <w:szCs w:val="24"/>
          <w:shd w:val="clear" w:color="auto" w:fill="FFFFFF"/>
        </w:rPr>
        <w:t xml:space="preserve">). Durante a pandemia da covid-19, com efeitos excepcionais na provisão e consumo de produtos agrícolas </w:t>
      </w:r>
      <w:r w:rsidRPr="000D4DDD">
        <w:rPr>
          <w:bCs/>
          <w:color w:val="000000" w:themeColor="text1"/>
          <w:szCs w:val="24"/>
          <w:shd w:val="clear" w:color="auto" w:fill="FFFFFF"/>
        </w:rPr>
        <w:t>(</w:t>
      </w:r>
      <w:bookmarkStart w:id="1" w:name="_Hlk126420259"/>
      <w:r w:rsidRPr="000D4DDD">
        <w:rPr>
          <w:szCs w:val="24"/>
        </w:rPr>
        <w:t>CEPAL</w:t>
      </w:r>
      <w:r w:rsidR="000D4DDD">
        <w:rPr>
          <w:szCs w:val="24"/>
        </w:rPr>
        <w:t xml:space="preserve">, </w:t>
      </w:r>
      <w:r w:rsidRPr="000D4DDD">
        <w:rPr>
          <w:szCs w:val="24"/>
        </w:rPr>
        <w:t>2020; SCHNEIDER et al</w:t>
      </w:r>
      <w:r w:rsidR="00935CB9" w:rsidRPr="000D4DDD">
        <w:rPr>
          <w:szCs w:val="24"/>
        </w:rPr>
        <w:t>.</w:t>
      </w:r>
      <w:r w:rsidRPr="000D4DDD">
        <w:rPr>
          <w:szCs w:val="24"/>
        </w:rPr>
        <w:t>, 2020; ZAGO, 2021</w:t>
      </w:r>
      <w:bookmarkEnd w:id="1"/>
      <w:r w:rsidRPr="000D4DDD">
        <w:rPr>
          <w:bCs/>
          <w:color w:val="000000" w:themeColor="text1"/>
          <w:szCs w:val="24"/>
          <w:shd w:val="clear" w:color="auto" w:fill="FFFFFF"/>
        </w:rPr>
        <w:t>), tal fato prosseguiu, com o</w:t>
      </w:r>
      <w:r w:rsidRPr="00B16FAF">
        <w:rPr>
          <w:bCs/>
          <w:color w:val="000000" w:themeColor="text1"/>
          <w:szCs w:val="24"/>
          <w:shd w:val="clear" w:color="auto" w:fill="FFFFFF"/>
        </w:rPr>
        <w:t xml:space="preserve"> IPAB subindo 23,2% e o IPCA, 15,0%, de 2020 a 2021 (IBGE, 2022</w:t>
      </w:r>
      <w:r w:rsidR="00B16FAF" w:rsidRPr="00B16FAF">
        <w:rPr>
          <w:bCs/>
          <w:color w:val="000000" w:themeColor="text1"/>
          <w:szCs w:val="24"/>
          <w:shd w:val="clear" w:color="auto" w:fill="FFFFFF"/>
        </w:rPr>
        <w:t>b</w:t>
      </w:r>
      <w:r w:rsidRPr="00B16FAF">
        <w:rPr>
          <w:bCs/>
          <w:color w:val="000000" w:themeColor="text1"/>
          <w:szCs w:val="24"/>
          <w:shd w:val="clear" w:color="auto" w:fill="FFFFFF"/>
        </w:rPr>
        <w:t>).</w:t>
      </w:r>
    </w:p>
    <w:p w14:paraId="610A7101" w14:textId="40A4BF0B" w:rsidR="00B90028" w:rsidRPr="006A51CE" w:rsidRDefault="00B90028" w:rsidP="00B90028">
      <w:pPr>
        <w:pStyle w:val="NormalWeb"/>
        <w:shd w:val="clear" w:color="auto" w:fill="FFFFFF"/>
        <w:spacing w:before="0" w:after="0"/>
        <w:ind w:firstLine="708"/>
        <w:jc w:val="both"/>
        <w:textAlignment w:val="baseline"/>
        <w:rPr>
          <w:bCs/>
          <w:color w:val="000000" w:themeColor="text1"/>
          <w:szCs w:val="24"/>
          <w:shd w:val="clear" w:color="auto" w:fill="FFFFFF"/>
        </w:rPr>
      </w:pPr>
      <w:r w:rsidRPr="00B16FAF">
        <w:rPr>
          <w:bCs/>
          <w:color w:val="000000" w:themeColor="text1"/>
          <w:szCs w:val="24"/>
          <w:shd w:val="clear" w:color="auto" w:fill="FFFFFF"/>
        </w:rPr>
        <w:t>Quanto ao comércio exterior</w:t>
      </w:r>
      <w:r w:rsidR="00CB4FE2" w:rsidRPr="00B16FAF">
        <w:rPr>
          <w:bCs/>
          <w:color w:val="000000" w:themeColor="text1"/>
          <w:szCs w:val="24"/>
          <w:shd w:val="clear" w:color="auto" w:fill="FFFFFF"/>
        </w:rPr>
        <w:t>,</w:t>
      </w:r>
      <w:r w:rsidRPr="00B16FAF">
        <w:rPr>
          <w:bCs/>
          <w:color w:val="000000" w:themeColor="text1"/>
          <w:szCs w:val="24"/>
          <w:shd w:val="clear" w:color="auto" w:fill="FFFFFF"/>
        </w:rPr>
        <w:t xml:space="preserve"> no agregado, pelo menos desde 1990, o Brasil tem</w:t>
      </w:r>
      <w:r w:rsidR="00EE53C1">
        <w:rPr>
          <w:bCs/>
          <w:color w:val="000000" w:themeColor="text1"/>
          <w:szCs w:val="24"/>
          <w:shd w:val="clear" w:color="auto" w:fill="FFFFFF"/>
        </w:rPr>
        <w:t xml:space="preserve"> </w:t>
      </w:r>
      <w:r w:rsidRPr="00B16FAF">
        <w:rPr>
          <w:bCs/>
          <w:color w:val="000000" w:themeColor="text1"/>
          <w:szCs w:val="24"/>
          <w:shd w:val="clear" w:color="auto" w:fill="FFFFFF"/>
        </w:rPr>
        <w:t>se</w:t>
      </w:r>
      <w:r w:rsidRPr="006A51CE">
        <w:rPr>
          <w:bCs/>
          <w:color w:val="000000" w:themeColor="text1"/>
          <w:szCs w:val="24"/>
          <w:shd w:val="clear" w:color="auto" w:fill="FFFFFF"/>
        </w:rPr>
        <w:t xml:space="preserve"> caracterizado como importante exportador líquido de produtos de origem agrícola e de alimentos. Suas exportações agrícolas passaram de 2,4%, em 1990, para 7,7%</w:t>
      </w:r>
      <w:r>
        <w:rPr>
          <w:bCs/>
          <w:color w:val="000000" w:themeColor="text1"/>
          <w:szCs w:val="24"/>
          <w:shd w:val="clear" w:color="auto" w:fill="FFFFFF"/>
        </w:rPr>
        <w:t>,</w:t>
      </w:r>
      <w:r w:rsidRPr="006A51CE">
        <w:rPr>
          <w:bCs/>
          <w:color w:val="000000" w:themeColor="text1"/>
          <w:szCs w:val="24"/>
          <w:shd w:val="clear" w:color="auto" w:fill="FFFFFF"/>
        </w:rPr>
        <w:t xml:space="preserve"> em 2019</w:t>
      </w:r>
      <w:r>
        <w:rPr>
          <w:bCs/>
          <w:color w:val="000000" w:themeColor="text1"/>
          <w:szCs w:val="24"/>
          <w:shd w:val="clear" w:color="auto" w:fill="FFFFFF"/>
        </w:rPr>
        <w:t xml:space="preserve">, </w:t>
      </w:r>
      <w:r w:rsidRPr="006A51CE">
        <w:rPr>
          <w:bCs/>
          <w:color w:val="000000" w:themeColor="text1"/>
          <w:szCs w:val="24"/>
          <w:shd w:val="clear" w:color="auto" w:fill="FFFFFF"/>
        </w:rPr>
        <w:t xml:space="preserve">das </w:t>
      </w:r>
      <w:r w:rsidRPr="00E41BEE">
        <w:rPr>
          <w:bCs/>
          <w:color w:val="000000" w:themeColor="text1"/>
          <w:szCs w:val="24"/>
          <w:shd w:val="clear" w:color="auto" w:fill="FFFFFF"/>
        </w:rPr>
        <w:t>exportações mundiais (FAO, 2021). Nesse ano, as exportações superaram em 2,5 vezes as</w:t>
      </w:r>
      <w:r w:rsidRPr="006A51CE">
        <w:rPr>
          <w:bCs/>
          <w:color w:val="000000" w:themeColor="text1"/>
          <w:szCs w:val="24"/>
          <w:shd w:val="clear" w:color="auto" w:fill="FFFFFF"/>
        </w:rPr>
        <w:t xml:space="preserve"> </w:t>
      </w:r>
      <w:r w:rsidRPr="003F65A5">
        <w:rPr>
          <w:bCs/>
          <w:color w:val="000000" w:themeColor="text1"/>
          <w:szCs w:val="24"/>
          <w:shd w:val="clear" w:color="auto" w:fill="FFFFFF"/>
        </w:rPr>
        <w:t>importações do agronegócio brasileiro</w:t>
      </w:r>
      <w:r w:rsidRPr="003F65A5">
        <w:rPr>
          <w:rStyle w:val="Refdenotaderodap"/>
          <w:bCs/>
          <w:color w:val="000000" w:themeColor="text1"/>
          <w:szCs w:val="24"/>
          <w:shd w:val="clear" w:color="auto" w:fill="FFFFFF"/>
        </w:rPr>
        <w:footnoteReference w:id="1"/>
      </w:r>
      <w:r w:rsidRPr="003F65A5">
        <w:rPr>
          <w:bCs/>
          <w:color w:val="000000" w:themeColor="text1"/>
          <w:szCs w:val="24"/>
          <w:shd w:val="clear" w:color="auto" w:fill="FFFFFF"/>
        </w:rPr>
        <w:t xml:space="preserve"> (BRASIL, 202</w:t>
      </w:r>
      <w:r w:rsidR="003F65A5">
        <w:rPr>
          <w:bCs/>
          <w:color w:val="000000" w:themeColor="text1"/>
          <w:szCs w:val="24"/>
          <w:shd w:val="clear" w:color="auto" w:fill="FFFFFF"/>
        </w:rPr>
        <w:t>1</w:t>
      </w:r>
      <w:r w:rsidRPr="003F65A5">
        <w:rPr>
          <w:bCs/>
          <w:color w:val="000000" w:themeColor="text1"/>
          <w:szCs w:val="24"/>
          <w:shd w:val="clear" w:color="auto" w:fill="FFFFFF"/>
        </w:rPr>
        <w:t>).</w:t>
      </w:r>
    </w:p>
    <w:p w14:paraId="689E0AF4" w14:textId="77777777" w:rsidR="00B90028" w:rsidRPr="006A51CE" w:rsidRDefault="00B90028" w:rsidP="00B90028">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Para alguns produtos</w:t>
      </w:r>
      <w:r>
        <w:rPr>
          <w:bCs/>
          <w:color w:val="000000" w:themeColor="text1"/>
          <w:szCs w:val="24"/>
          <w:shd w:val="clear" w:color="auto" w:fill="FFFFFF"/>
        </w:rPr>
        <w:t>,</w:t>
      </w:r>
      <w:r w:rsidRPr="006A51CE">
        <w:rPr>
          <w:bCs/>
          <w:color w:val="000000" w:themeColor="text1"/>
          <w:szCs w:val="24"/>
          <w:shd w:val="clear" w:color="auto" w:fill="FFFFFF"/>
        </w:rPr>
        <w:t xml:space="preserve"> observa-se alta dependência de importação pelo Brasil, com o caso mais notório se verificando no trigo em grãos. Contudo, o padrão predominante entre as principais cadeias agroalimentares é o da produção brasileira superar, muitas vezes com folga, o consumo nacional. Apenas potencialmente, isto resultaria em alta disponibilidade e consumo interno de alimentos. Na prática, estas duas variáveis dependem também do </w:t>
      </w:r>
      <w:bookmarkStart w:id="2" w:name="_Hlk124929749"/>
      <w:r w:rsidRPr="006A51CE">
        <w:rPr>
          <w:bCs/>
          <w:color w:val="000000" w:themeColor="text1"/>
          <w:szCs w:val="24"/>
          <w:shd w:val="clear" w:color="auto" w:fill="FFFFFF"/>
        </w:rPr>
        <w:t>nível de transações e dos preços internacionais</w:t>
      </w:r>
      <w:bookmarkEnd w:id="2"/>
      <w:r w:rsidRPr="006A51CE">
        <w:rPr>
          <w:bCs/>
          <w:color w:val="000000" w:themeColor="text1"/>
          <w:szCs w:val="24"/>
          <w:shd w:val="clear" w:color="auto" w:fill="FFFFFF"/>
        </w:rPr>
        <w:t>. Es</w:t>
      </w:r>
      <w:r>
        <w:rPr>
          <w:bCs/>
          <w:color w:val="000000" w:themeColor="text1"/>
          <w:szCs w:val="24"/>
          <w:shd w:val="clear" w:color="auto" w:fill="FFFFFF"/>
        </w:rPr>
        <w:t>ses</w:t>
      </w:r>
      <w:r w:rsidRPr="006A51CE">
        <w:rPr>
          <w:bCs/>
          <w:color w:val="000000" w:themeColor="text1"/>
          <w:szCs w:val="24"/>
          <w:shd w:val="clear" w:color="auto" w:fill="FFFFFF"/>
        </w:rPr>
        <w:t>, no século XXI, se mantiveram em patamares historicamente altos, o que contribuiu para elevação dos preços internos, processo acentuado pelo crescimento da internacionalização comercial da agricultura brasileira.</w:t>
      </w:r>
    </w:p>
    <w:p w14:paraId="12171972" w14:textId="2B91D95C" w:rsidR="00B90028" w:rsidRPr="006A51CE" w:rsidRDefault="00B90028" w:rsidP="00B90028">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 xml:space="preserve">O efeito negativo da elevação de preços sobre o consumo de alimentos atinge mais intensamente a população com menor poder aquisitivo, que dispende com esses produtos porcentual maior de sua renda e registra maiores valores da elasticidade preço e renda da </w:t>
      </w:r>
      <w:r w:rsidRPr="003F65A5">
        <w:rPr>
          <w:bCs/>
          <w:color w:val="000000" w:themeColor="text1"/>
          <w:szCs w:val="24"/>
          <w:shd w:val="clear" w:color="auto" w:fill="FFFFFF"/>
        </w:rPr>
        <w:t>demanda de alimentos (USDA, 2007). Pode ocorrer diminuição na quantidade de alimentos</w:t>
      </w:r>
      <w:r w:rsidRPr="006A51CE">
        <w:rPr>
          <w:bCs/>
          <w:color w:val="000000" w:themeColor="text1"/>
          <w:szCs w:val="24"/>
          <w:shd w:val="clear" w:color="auto" w:fill="FFFFFF"/>
        </w:rPr>
        <w:t xml:space="preserve"> adquirida ou a substituição daqueles de maior pelos de menor qualidade nutricional e mais </w:t>
      </w:r>
      <w:r w:rsidRPr="003F65A5">
        <w:rPr>
          <w:bCs/>
          <w:color w:val="000000" w:themeColor="text1"/>
          <w:szCs w:val="24"/>
          <w:shd w:val="clear" w:color="auto" w:fill="FFFFFF"/>
        </w:rPr>
        <w:t>baratos, agravando a situação de Insegurança Alimentar e Nutricional (BACCARIN</w:t>
      </w:r>
      <w:r w:rsidR="003F65A5" w:rsidRPr="003F65A5">
        <w:rPr>
          <w:bCs/>
          <w:color w:val="000000" w:themeColor="text1"/>
          <w:szCs w:val="24"/>
          <w:shd w:val="clear" w:color="auto" w:fill="FFFFFF"/>
        </w:rPr>
        <w:t>;</w:t>
      </w:r>
      <w:r w:rsidRPr="003F65A5">
        <w:rPr>
          <w:bCs/>
          <w:color w:val="000000" w:themeColor="text1"/>
          <w:szCs w:val="24"/>
          <w:shd w:val="clear" w:color="auto" w:fill="FFFFFF"/>
        </w:rPr>
        <w:t xml:space="preserve"> OLIVEIRA, 2021). Em momentos de baixo dinamismo econômico, com elevação do nível de</w:t>
      </w:r>
      <w:r w:rsidRPr="006A51CE">
        <w:rPr>
          <w:bCs/>
          <w:color w:val="000000" w:themeColor="text1"/>
          <w:szCs w:val="24"/>
          <w:shd w:val="clear" w:color="auto" w:fill="FFFFFF"/>
        </w:rPr>
        <w:t xml:space="preserve"> desocupação e queda de renda </w:t>
      </w:r>
      <w:r w:rsidRPr="009E2831">
        <w:rPr>
          <w:bCs/>
          <w:i/>
          <w:iCs/>
          <w:color w:val="000000" w:themeColor="text1"/>
          <w:szCs w:val="24"/>
          <w:shd w:val="clear" w:color="auto" w:fill="FFFFFF"/>
        </w:rPr>
        <w:t>per capita</w:t>
      </w:r>
      <w:r w:rsidRPr="006A51CE">
        <w:rPr>
          <w:bCs/>
          <w:color w:val="000000" w:themeColor="text1"/>
          <w:szCs w:val="24"/>
          <w:shd w:val="clear" w:color="auto" w:fill="FFFFFF"/>
        </w:rPr>
        <w:t xml:space="preserve">, tal fato se acentua. </w:t>
      </w:r>
    </w:p>
    <w:p w14:paraId="1B37E5FC" w14:textId="77777777" w:rsidR="00B90028" w:rsidRPr="006A51CE" w:rsidRDefault="00B90028" w:rsidP="00B90028">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Outro ponto a considerar diz respeito à contribuição dos diversos segmentos das cadeias agroalimentares na formação de preços ao consumidor. Estes são influenciados pelas condições d</w:t>
      </w:r>
      <w:r>
        <w:rPr>
          <w:bCs/>
          <w:color w:val="000000" w:themeColor="text1"/>
          <w:szCs w:val="24"/>
          <w:shd w:val="clear" w:color="auto" w:fill="FFFFFF"/>
        </w:rPr>
        <w:t>a</w:t>
      </w:r>
      <w:r w:rsidRPr="006A51CE">
        <w:rPr>
          <w:bCs/>
          <w:color w:val="000000" w:themeColor="text1"/>
          <w:szCs w:val="24"/>
          <w:shd w:val="clear" w:color="auto" w:fill="FFFFFF"/>
        </w:rPr>
        <w:t xml:space="preserve"> produção e comércio internacional agrícola (i), da indústria de alimentos (ii) e da distribuição de alimentos, especialmente comércio varejista e serviços de fornecimento de refeições (iii). Com base em avaliações preliminares da relação entre preços agrícolas e dos alimentos derivados, assume-se que a recente elevação real dos preços de alimentos consumidos no domicílio no Brasil dependeu muito mais dos acontecimentos do primeiro do que dos outros dois segmentos.</w:t>
      </w:r>
    </w:p>
    <w:p w14:paraId="4A7EB788" w14:textId="77777777" w:rsidR="00B90028" w:rsidRPr="006A51CE" w:rsidRDefault="00B90028" w:rsidP="00B90028">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lastRenderedPageBreak/>
        <w:t>O objetivo do artigo é analisar como o nível de abertura comercial de 19 cadeias agroalimentares no Brasil influenciou na disponibilidade interna agrícola/agroindustrial e na variação de preço ao consumidor de seus respectivos produtos, entre 2007 e 2021. Além dos fluxos comerciais externos, o cálculo da disponibilidade interna se baseia na produção agrícola, por exemplo, de soja, café, milho, ou de produtos com transformação industrial mais simples, como lácteos, carnes e açúcar. Por sua vez, o produto ao consumidor com preço analisado, às vezes, é muito semelhante ao considerado n</w:t>
      </w:r>
      <w:r>
        <w:rPr>
          <w:bCs/>
          <w:color w:val="000000" w:themeColor="text1"/>
          <w:szCs w:val="24"/>
          <w:shd w:val="clear" w:color="auto" w:fill="FFFFFF"/>
        </w:rPr>
        <w:t>o cálculo d</w:t>
      </w:r>
      <w:r w:rsidRPr="006A51CE">
        <w:rPr>
          <w:bCs/>
          <w:color w:val="000000" w:themeColor="text1"/>
          <w:szCs w:val="24"/>
          <w:shd w:val="clear" w:color="auto" w:fill="FFFFFF"/>
        </w:rPr>
        <w:t>a disponibilidade, como nas carnes, açúcar, arroz e feijão. Todavia, há situações que o consumo se dá após transformações mais significativas, tomando como exemplo o óleo de soja, café torrado e moído e diversos derivados do trigo.</w:t>
      </w:r>
    </w:p>
    <w:p w14:paraId="7A53C514" w14:textId="77777777" w:rsidR="00B90028" w:rsidRPr="006A51CE" w:rsidRDefault="00B90028" w:rsidP="00B90028">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Os objetivos específicos do artigo são:</w:t>
      </w:r>
    </w:p>
    <w:p w14:paraId="7ABC86F3" w14:textId="77777777" w:rsidR="00B90028" w:rsidRPr="006A51CE" w:rsidRDefault="00B90028" w:rsidP="00B90028">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a) Classificação de 19 cadeias agrícolas em três grupos, de acordo com o grau de abertura comercial: comercializáveis, medianamente comercializáveis e não comercializáveis;</w:t>
      </w:r>
    </w:p>
    <w:p w14:paraId="2D920DB1" w14:textId="77777777" w:rsidR="00B90028" w:rsidRPr="006A51CE" w:rsidRDefault="00B90028" w:rsidP="00B90028">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b) Análise comparativa da variação dos preços internos dos alimentos ao consumidor das 19 cadeias agrícolas estudadas;</w:t>
      </w:r>
    </w:p>
    <w:p w14:paraId="57240B0D" w14:textId="77777777" w:rsidR="00B90028" w:rsidRPr="006A51CE" w:rsidRDefault="00B90028" w:rsidP="00B90028">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 xml:space="preserve">c) Mensuração e análise comparativa da disponibilidade interna </w:t>
      </w:r>
      <w:r w:rsidRPr="006A51CE">
        <w:rPr>
          <w:bCs/>
          <w:i/>
          <w:color w:val="000000" w:themeColor="text1"/>
          <w:szCs w:val="24"/>
          <w:shd w:val="clear" w:color="auto" w:fill="FFFFFF"/>
        </w:rPr>
        <w:t>per capita</w:t>
      </w:r>
      <w:r w:rsidRPr="006A51CE">
        <w:rPr>
          <w:bCs/>
          <w:color w:val="000000" w:themeColor="text1"/>
          <w:szCs w:val="24"/>
          <w:shd w:val="clear" w:color="auto" w:fill="FFFFFF"/>
        </w:rPr>
        <w:t xml:space="preserve"> da produção agrícola/agroindustrial dos três grupos de cadeias.</w:t>
      </w:r>
    </w:p>
    <w:p w14:paraId="1CC8E411" w14:textId="0B39F4AA" w:rsidR="00B90028" w:rsidRDefault="00B90028" w:rsidP="00B90028">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A seção seguinte é dedicada a apresentar considerações conceituais, teóricas e factuais sobre preço e disponibilidade agrícola. A terceira seção trata da definição, fontes e construção das variáveis empregadas. Na quarta</w:t>
      </w:r>
      <w:r w:rsidR="00D924CA">
        <w:rPr>
          <w:bCs/>
          <w:color w:val="000000" w:themeColor="text1"/>
          <w:szCs w:val="24"/>
          <w:shd w:val="clear" w:color="auto" w:fill="FFFFFF"/>
        </w:rPr>
        <w:t>,</w:t>
      </w:r>
      <w:r w:rsidRPr="006A51CE">
        <w:rPr>
          <w:bCs/>
          <w:color w:val="000000" w:themeColor="text1"/>
          <w:szCs w:val="24"/>
          <w:shd w:val="clear" w:color="auto" w:fill="FFFFFF"/>
        </w:rPr>
        <w:t xml:space="preserve"> apresentam-se os resultados encontrados.</w:t>
      </w:r>
      <w:r>
        <w:rPr>
          <w:bCs/>
          <w:color w:val="000000" w:themeColor="text1"/>
          <w:szCs w:val="24"/>
          <w:shd w:val="clear" w:color="auto" w:fill="FFFFFF"/>
        </w:rPr>
        <w:t xml:space="preserve"> </w:t>
      </w:r>
      <w:r w:rsidRPr="006A51CE">
        <w:rPr>
          <w:bCs/>
          <w:color w:val="000000" w:themeColor="text1"/>
          <w:szCs w:val="24"/>
          <w:shd w:val="clear" w:color="auto" w:fill="FFFFFF"/>
        </w:rPr>
        <w:t>Por fim, algumas considerações finais fecham o artigo.</w:t>
      </w:r>
    </w:p>
    <w:p w14:paraId="61E21AB1" w14:textId="77777777" w:rsidR="00B90028" w:rsidRDefault="00B90028" w:rsidP="00FE4BB6">
      <w:pPr>
        <w:pStyle w:val="NormalWeb"/>
        <w:shd w:val="clear" w:color="auto" w:fill="FFFFFF"/>
        <w:spacing w:before="0" w:after="0"/>
        <w:jc w:val="both"/>
        <w:textAlignment w:val="baseline"/>
        <w:rPr>
          <w:bCs/>
          <w:color w:val="000000" w:themeColor="text1"/>
          <w:szCs w:val="24"/>
          <w:shd w:val="clear" w:color="auto" w:fill="FFFFFF"/>
        </w:rPr>
      </w:pPr>
    </w:p>
    <w:p w14:paraId="3A26F32F" w14:textId="2D1F3A16" w:rsidR="00B90028" w:rsidRDefault="00B90028" w:rsidP="00B90028">
      <w:pPr>
        <w:pStyle w:val="NormalWeb"/>
        <w:shd w:val="clear" w:color="auto" w:fill="FFFFFF"/>
        <w:spacing w:before="0" w:after="0"/>
        <w:jc w:val="both"/>
        <w:textAlignment w:val="baseline"/>
        <w:rPr>
          <w:b/>
          <w:bCs/>
          <w:color w:val="000000" w:themeColor="text1"/>
          <w:szCs w:val="24"/>
          <w:shd w:val="clear" w:color="auto" w:fill="FFFFFF"/>
        </w:rPr>
      </w:pPr>
      <w:r w:rsidRPr="006A51CE">
        <w:rPr>
          <w:b/>
          <w:bCs/>
          <w:color w:val="000000" w:themeColor="text1"/>
          <w:szCs w:val="24"/>
          <w:shd w:val="clear" w:color="auto" w:fill="FFFFFF"/>
        </w:rPr>
        <w:t>2.</w:t>
      </w:r>
      <w:r w:rsidRPr="006A51CE">
        <w:rPr>
          <w:bCs/>
          <w:color w:val="000000" w:themeColor="text1"/>
          <w:szCs w:val="24"/>
          <w:shd w:val="clear" w:color="auto" w:fill="FFFFFF"/>
        </w:rPr>
        <w:t xml:space="preserve"> </w:t>
      </w:r>
      <w:r w:rsidR="001546F3">
        <w:rPr>
          <w:bCs/>
          <w:color w:val="000000" w:themeColor="text1"/>
          <w:szCs w:val="24"/>
          <w:shd w:val="clear" w:color="auto" w:fill="FFFFFF"/>
        </w:rPr>
        <w:t>A</w:t>
      </w:r>
      <w:r w:rsidR="001546F3" w:rsidRPr="006A51CE">
        <w:rPr>
          <w:b/>
          <w:bCs/>
          <w:color w:val="000000" w:themeColor="text1"/>
          <w:szCs w:val="24"/>
          <w:shd w:val="clear" w:color="auto" w:fill="FFFFFF"/>
        </w:rPr>
        <w:t xml:space="preserve">portes </w:t>
      </w:r>
      <w:r w:rsidR="001546F3">
        <w:rPr>
          <w:b/>
          <w:bCs/>
          <w:color w:val="000000" w:themeColor="text1"/>
          <w:szCs w:val="24"/>
          <w:shd w:val="clear" w:color="auto" w:fill="FFFFFF"/>
        </w:rPr>
        <w:t>T</w:t>
      </w:r>
      <w:r w:rsidR="001546F3" w:rsidRPr="006A51CE">
        <w:rPr>
          <w:b/>
          <w:bCs/>
          <w:color w:val="000000" w:themeColor="text1"/>
          <w:szCs w:val="24"/>
          <w:shd w:val="clear" w:color="auto" w:fill="FFFFFF"/>
        </w:rPr>
        <w:t xml:space="preserve">eóricos e </w:t>
      </w:r>
      <w:r w:rsidR="001546F3">
        <w:rPr>
          <w:b/>
          <w:bCs/>
          <w:color w:val="000000" w:themeColor="text1"/>
          <w:szCs w:val="24"/>
          <w:shd w:val="clear" w:color="auto" w:fill="FFFFFF"/>
        </w:rPr>
        <w:t>F</w:t>
      </w:r>
      <w:r w:rsidR="001546F3" w:rsidRPr="006A51CE">
        <w:rPr>
          <w:b/>
          <w:bCs/>
          <w:color w:val="000000" w:themeColor="text1"/>
          <w:szCs w:val="24"/>
          <w:shd w:val="clear" w:color="auto" w:fill="FFFFFF"/>
        </w:rPr>
        <w:t>actuais</w:t>
      </w:r>
    </w:p>
    <w:p w14:paraId="034C27B9" w14:textId="5FE7DFC4" w:rsidR="00B90028" w:rsidRPr="006A51CE" w:rsidRDefault="00B90028" w:rsidP="00B90028">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Em dado período, normalmente um ano, determina-se a disponibilidade em um país ou bloco econômico de produtos agrícolas para fins alimentícios pela soma algébrica da produção, do saldo do comércio exterior, da variação de estoques, das perdas, desperdícios e usos não alimentícios (plantio, p. ex.) dos produtos.</w:t>
      </w:r>
    </w:p>
    <w:p w14:paraId="1B9C88ED" w14:textId="77777777" w:rsidR="00B90028" w:rsidRPr="006A51CE" w:rsidRDefault="00B90028" w:rsidP="00B90028">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Tomando-se apenas os dois primeiros termos, à produção interna</w:t>
      </w:r>
      <w:r>
        <w:rPr>
          <w:bCs/>
          <w:color w:val="000000" w:themeColor="text1"/>
          <w:szCs w:val="24"/>
          <w:shd w:val="clear" w:color="auto" w:fill="FFFFFF"/>
        </w:rPr>
        <w:t>,</w:t>
      </w:r>
      <w:r w:rsidRPr="006A51CE">
        <w:rPr>
          <w:bCs/>
          <w:color w:val="000000" w:themeColor="text1"/>
          <w:szCs w:val="24"/>
          <w:shd w:val="clear" w:color="auto" w:fill="FFFFFF"/>
        </w:rPr>
        <w:t xml:space="preserve"> deve-se somar a importação e subtrair a exportação para o cálculo da disponibilidade. No curto prazo, dado um volume de produção, o aumento da exportação líquida (exportação menos importação) diminui a disponibilidade interna e, portanto, pressiona os preços internos de alimentos. Entretanto, no longo prazo e relevando a variação da população, o crescimento continuado da exportação líquida por um país pode decorrer da elevação proporcional ou mais que proporcional da produção interna, situações em que a disponibilidade local não seria afetada negativamente. Acrescente-se que a elevação da exportação líquida por um país pode estar refletindo aumento da competitividade internacional da sua agricultura, associado à redução de custos médios e, potencialmente, dos preços ao consumidor.</w:t>
      </w:r>
    </w:p>
    <w:p w14:paraId="5F3D9FB9" w14:textId="77777777" w:rsidR="00B90028" w:rsidRPr="006A51CE" w:rsidRDefault="00B90028" w:rsidP="00B90028">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Quanto à participação no comércio exterior, pode-se considerar dois grupos de produtos. Os comercializáveis, que t</w:t>
      </w:r>
      <w:r>
        <w:rPr>
          <w:bCs/>
          <w:color w:val="000000" w:themeColor="text1"/>
          <w:szCs w:val="24"/>
          <w:shd w:val="clear" w:color="auto" w:fill="FFFFFF"/>
        </w:rPr>
        <w:t>ê</w:t>
      </w:r>
      <w:r w:rsidRPr="006A51CE">
        <w:rPr>
          <w:bCs/>
          <w:color w:val="000000" w:themeColor="text1"/>
          <w:szCs w:val="24"/>
          <w:shd w:val="clear" w:color="auto" w:fill="FFFFFF"/>
        </w:rPr>
        <w:t xml:space="preserve">m exportação ou importação significativa em relação à produção e consumo interno </w:t>
      </w:r>
      <w:r>
        <w:rPr>
          <w:bCs/>
          <w:color w:val="000000" w:themeColor="text1"/>
          <w:szCs w:val="24"/>
          <w:shd w:val="clear" w:color="auto" w:fill="FFFFFF"/>
        </w:rPr>
        <w:t>e</w:t>
      </w:r>
      <w:r w:rsidRPr="006A51CE">
        <w:rPr>
          <w:bCs/>
          <w:color w:val="000000" w:themeColor="text1"/>
          <w:szCs w:val="24"/>
          <w:shd w:val="clear" w:color="auto" w:fill="FFFFFF"/>
        </w:rPr>
        <w:t xml:space="preserve"> os não comercializáveis</w:t>
      </w:r>
      <w:r>
        <w:rPr>
          <w:bCs/>
          <w:color w:val="000000" w:themeColor="text1"/>
          <w:szCs w:val="24"/>
          <w:shd w:val="clear" w:color="auto" w:fill="FFFFFF"/>
        </w:rPr>
        <w:t xml:space="preserve"> que</w:t>
      </w:r>
      <w:r w:rsidRPr="006A51CE">
        <w:rPr>
          <w:bCs/>
          <w:color w:val="000000" w:themeColor="text1"/>
          <w:szCs w:val="24"/>
          <w:shd w:val="clear" w:color="auto" w:fill="FFFFFF"/>
        </w:rPr>
        <w:t xml:space="preserve">, por sua vez, </w:t>
      </w:r>
      <w:r>
        <w:rPr>
          <w:bCs/>
          <w:color w:val="000000" w:themeColor="text1"/>
          <w:szCs w:val="24"/>
          <w:shd w:val="clear" w:color="auto" w:fill="FFFFFF"/>
        </w:rPr>
        <w:t>têm</w:t>
      </w:r>
      <w:r w:rsidRPr="006A51CE">
        <w:rPr>
          <w:bCs/>
          <w:color w:val="000000" w:themeColor="text1"/>
          <w:szCs w:val="24"/>
          <w:shd w:val="clear" w:color="auto" w:fill="FFFFFF"/>
        </w:rPr>
        <w:t xml:space="preserve"> participação </w:t>
      </w:r>
      <w:r>
        <w:rPr>
          <w:bCs/>
          <w:color w:val="000000" w:themeColor="text1"/>
          <w:szCs w:val="24"/>
          <w:shd w:val="clear" w:color="auto" w:fill="FFFFFF"/>
        </w:rPr>
        <w:t xml:space="preserve">dos fluxos de comércio exterior </w:t>
      </w:r>
      <w:r w:rsidRPr="006A51CE">
        <w:rPr>
          <w:bCs/>
          <w:color w:val="000000" w:themeColor="text1"/>
          <w:szCs w:val="24"/>
          <w:shd w:val="clear" w:color="auto" w:fill="FFFFFF"/>
        </w:rPr>
        <w:t>pouco significativa na disponibilidade interna.</w:t>
      </w:r>
    </w:p>
    <w:p w14:paraId="5A2572D1" w14:textId="585E6C98" w:rsidR="00B90028" w:rsidRPr="006A51CE" w:rsidRDefault="00B90028" w:rsidP="00B90028">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 xml:space="preserve">O fato de o comércio internacional de um produto ser relativamente pequeno pode decorrer de sua alta perecibilidade e dificuldade de transporte a longa distância, como é o caso do tomate e outros legumes e hortaliças </w:t>
      </w:r>
      <w:r w:rsidRPr="006A51CE">
        <w:rPr>
          <w:bCs/>
          <w:i/>
          <w:iCs/>
          <w:color w:val="000000" w:themeColor="text1"/>
          <w:szCs w:val="24"/>
          <w:shd w:val="clear" w:color="auto" w:fill="FFFFFF"/>
        </w:rPr>
        <w:t>in natura</w:t>
      </w:r>
      <w:r w:rsidRPr="006A51CE">
        <w:rPr>
          <w:bCs/>
          <w:color w:val="000000" w:themeColor="text1"/>
          <w:szCs w:val="24"/>
          <w:shd w:val="clear" w:color="auto" w:fill="FFFFFF"/>
        </w:rPr>
        <w:t xml:space="preserve">. Outra possibilidade é que o produto não seja de consumo disseminado em vários países, o que limita o desenvolvimento de seu comércio </w:t>
      </w:r>
      <w:r w:rsidRPr="006A51CE">
        <w:rPr>
          <w:bCs/>
          <w:color w:val="000000" w:themeColor="text1"/>
          <w:szCs w:val="24"/>
          <w:shd w:val="clear" w:color="auto" w:fill="FFFFFF"/>
        </w:rPr>
        <w:lastRenderedPageBreak/>
        <w:t>externo e faz com que o consumo nacional tenha grande dependência da produção nacional. Um exemplo é o feijão</w:t>
      </w:r>
      <w:r w:rsidR="006C24DC">
        <w:rPr>
          <w:bCs/>
          <w:color w:val="000000" w:themeColor="text1"/>
          <w:szCs w:val="24"/>
          <w:shd w:val="clear" w:color="auto" w:fill="FFFFFF"/>
        </w:rPr>
        <w:t>,</w:t>
      </w:r>
      <w:r w:rsidRPr="006A51CE">
        <w:rPr>
          <w:bCs/>
          <w:color w:val="000000" w:themeColor="text1"/>
          <w:szCs w:val="24"/>
          <w:shd w:val="clear" w:color="auto" w:fill="FFFFFF"/>
        </w:rPr>
        <w:t xml:space="preserve"> que é consumido </w:t>
      </w:r>
      <w:r>
        <w:rPr>
          <w:bCs/>
          <w:color w:val="000000" w:themeColor="text1"/>
          <w:szCs w:val="24"/>
          <w:shd w:val="clear" w:color="auto" w:fill="FFFFFF"/>
        </w:rPr>
        <w:t xml:space="preserve">cotidianamente e </w:t>
      </w:r>
      <w:r w:rsidRPr="006A51CE">
        <w:rPr>
          <w:bCs/>
          <w:color w:val="000000" w:themeColor="text1"/>
          <w:szCs w:val="24"/>
          <w:shd w:val="clear" w:color="auto" w:fill="FFFFFF"/>
        </w:rPr>
        <w:t xml:space="preserve">em quantidade </w:t>
      </w:r>
      <w:r w:rsidRPr="00BC5CB1">
        <w:rPr>
          <w:bCs/>
          <w:i/>
          <w:iCs/>
          <w:color w:val="000000" w:themeColor="text1"/>
          <w:szCs w:val="24"/>
          <w:shd w:val="clear" w:color="auto" w:fill="FFFFFF"/>
        </w:rPr>
        <w:t>per capita</w:t>
      </w:r>
      <w:r w:rsidRPr="006A51CE">
        <w:rPr>
          <w:bCs/>
          <w:color w:val="000000" w:themeColor="text1"/>
          <w:szCs w:val="24"/>
          <w:shd w:val="clear" w:color="auto" w:fill="FFFFFF"/>
        </w:rPr>
        <w:t xml:space="preserve"> bem mais alta no Brasil que em outros países.</w:t>
      </w:r>
    </w:p>
    <w:p w14:paraId="69B2AA5E" w14:textId="77777777" w:rsidR="00B90028" w:rsidRPr="006A51CE" w:rsidRDefault="00B90028" w:rsidP="00B90028">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 xml:space="preserve">Na situação mais comum, com comércio internacional não tolhido pela perecibilidade ou por hábitos de consumo localizados, concebe-se que o nível da já citada competividade internacional seria o principal fator a influenciar no grau da exportação ou importação de um produto por determinado país ou bloco econômico. </w:t>
      </w:r>
      <w:r>
        <w:rPr>
          <w:bCs/>
          <w:color w:val="000000" w:themeColor="text1"/>
          <w:szCs w:val="24"/>
          <w:shd w:val="clear" w:color="auto" w:fill="FFFFFF"/>
        </w:rPr>
        <w:t xml:space="preserve">Isto, </w:t>
      </w:r>
      <w:r w:rsidRPr="006A51CE">
        <w:rPr>
          <w:bCs/>
          <w:color w:val="000000" w:themeColor="text1"/>
          <w:szCs w:val="24"/>
          <w:shd w:val="clear" w:color="auto" w:fill="FFFFFF"/>
        </w:rPr>
        <w:t>na ausência de política de incentivos à produção nacional e de barreiras à importação.</w:t>
      </w:r>
    </w:p>
    <w:p w14:paraId="063ECE50" w14:textId="154C7617" w:rsidR="00B90028" w:rsidRPr="006A51CE" w:rsidRDefault="00B90028" w:rsidP="00B90028">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 xml:space="preserve">Uma inferência deste raciocínio é que, dentro dos limites geográficos de um país (considerando-se a dotação de recursos naturais e clima), os produtos com porcentual maior de exportação líquida tenderiam a apresentar maior dinamismo produtivo, restringindo o crescimento de produtos internacionalmente menos competitivos. </w:t>
      </w:r>
      <w:r>
        <w:rPr>
          <w:bCs/>
          <w:color w:val="000000" w:themeColor="text1"/>
          <w:szCs w:val="24"/>
          <w:shd w:val="clear" w:color="auto" w:fill="FFFFFF"/>
        </w:rPr>
        <w:t xml:space="preserve">A teoria de vantagens comparativas no comércio internacional, formulada ainda no século XIX por David Ricardo, </w:t>
      </w:r>
      <w:r w:rsidRPr="003F65A5">
        <w:rPr>
          <w:bCs/>
          <w:color w:val="000000" w:themeColor="text1"/>
          <w:szCs w:val="24"/>
          <w:shd w:val="clear" w:color="auto" w:fill="FFFFFF"/>
        </w:rPr>
        <w:t>respalda esta consideração (GONÇALVES et al</w:t>
      </w:r>
      <w:r w:rsidR="003F65A5" w:rsidRPr="003F65A5">
        <w:rPr>
          <w:bCs/>
          <w:color w:val="000000" w:themeColor="text1"/>
          <w:szCs w:val="24"/>
          <w:shd w:val="clear" w:color="auto" w:fill="FFFFFF"/>
        </w:rPr>
        <w:t>.</w:t>
      </w:r>
      <w:r w:rsidRPr="003F65A5">
        <w:rPr>
          <w:bCs/>
          <w:color w:val="000000" w:themeColor="text1"/>
          <w:szCs w:val="24"/>
          <w:shd w:val="clear" w:color="auto" w:fill="FFFFFF"/>
        </w:rPr>
        <w:t>, 1998).</w:t>
      </w:r>
    </w:p>
    <w:p w14:paraId="327D97B3" w14:textId="3978EB85" w:rsidR="00B90028" w:rsidRPr="006A51CE" w:rsidRDefault="00B90028" w:rsidP="00B90028">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 xml:space="preserve">O tamanho do mercado potencial seria outro condicionante do dinamismo dos diferentes produtos. As decisões de investimento e de gastos correntes relacionadas aos não comercializáveis seriam restringidas pelo consumo da população do próprio país. Para os exportáveis, a população potencialmente a ser atendida é muito maior, </w:t>
      </w:r>
      <w:r>
        <w:rPr>
          <w:bCs/>
          <w:color w:val="000000" w:themeColor="text1"/>
          <w:szCs w:val="24"/>
          <w:shd w:val="clear" w:color="auto" w:fill="FFFFFF"/>
        </w:rPr>
        <w:t>do mundo todo</w:t>
      </w:r>
      <w:r w:rsidRPr="006A51CE">
        <w:rPr>
          <w:bCs/>
          <w:color w:val="000000" w:themeColor="text1"/>
          <w:szCs w:val="24"/>
          <w:shd w:val="clear" w:color="auto" w:fill="FFFFFF"/>
        </w:rPr>
        <w:t>, no limite, obviamente</w:t>
      </w:r>
      <w:r w:rsidR="006C24DC">
        <w:rPr>
          <w:bCs/>
          <w:color w:val="000000" w:themeColor="text1"/>
          <w:szCs w:val="24"/>
          <w:shd w:val="clear" w:color="auto" w:fill="FFFFFF"/>
        </w:rPr>
        <w:t>,</w:t>
      </w:r>
      <w:r w:rsidRPr="006A51CE">
        <w:rPr>
          <w:bCs/>
          <w:color w:val="000000" w:themeColor="text1"/>
          <w:szCs w:val="24"/>
          <w:shd w:val="clear" w:color="auto" w:fill="FFFFFF"/>
        </w:rPr>
        <w:t xml:space="preserve"> em dependência da capacidade competitiva dos demais países.</w:t>
      </w:r>
    </w:p>
    <w:p w14:paraId="17317031" w14:textId="77777777" w:rsidR="00B90028" w:rsidRPr="006A51CE" w:rsidRDefault="00B90028" w:rsidP="00B90028">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Em relação aos preços, em princípio, pode-se supor que</w:t>
      </w:r>
      <w:r>
        <w:rPr>
          <w:bCs/>
          <w:color w:val="000000" w:themeColor="text1"/>
          <w:szCs w:val="24"/>
          <w:shd w:val="clear" w:color="auto" w:fill="FFFFFF"/>
        </w:rPr>
        <w:t>,</w:t>
      </w:r>
      <w:r w:rsidRPr="006A51CE">
        <w:rPr>
          <w:bCs/>
          <w:color w:val="000000" w:themeColor="text1"/>
          <w:szCs w:val="24"/>
          <w:shd w:val="clear" w:color="auto" w:fill="FFFFFF"/>
        </w:rPr>
        <w:t xml:space="preserve"> para os não comercializáveis</w:t>
      </w:r>
      <w:r>
        <w:rPr>
          <w:bCs/>
          <w:color w:val="000000" w:themeColor="text1"/>
          <w:szCs w:val="24"/>
          <w:shd w:val="clear" w:color="auto" w:fill="FFFFFF"/>
        </w:rPr>
        <w:t>,</w:t>
      </w:r>
      <w:r w:rsidRPr="006A51CE">
        <w:rPr>
          <w:bCs/>
          <w:color w:val="000000" w:themeColor="text1"/>
          <w:szCs w:val="24"/>
          <w:shd w:val="clear" w:color="auto" w:fill="FFFFFF"/>
        </w:rPr>
        <w:t xml:space="preserve"> as condições locais de consumo e produção seriam seus principais determinantes. Adicionalmente, eles estariam sujeitos a maiores flutuações, pois uma deficiência (excesso) de oferta não seria facilmente atendida (escoada) pela importação (exportação), com o ajuste imediato de mercado se dando via aumento (queda) do preço.</w:t>
      </w:r>
    </w:p>
    <w:p w14:paraId="5EA9CA30" w14:textId="77777777" w:rsidR="00B90028" w:rsidRPr="006A51CE" w:rsidRDefault="00B90028" w:rsidP="00B90028">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Para os comercializáveis, as flutuações de produção local seriam mais prontamente atendidas por variações na exportação ou na importação e seus preços seriam determinados de acordo com condições internacionais. Ainda que isto não seja explorado neste artigo, convém destacar que, dependendo do nível de controle das transações internacionais por grandes empresas, quedas dos preços internacionais não seriam imediatamente repassadas para o mercado interno. Também</w:t>
      </w:r>
      <w:r>
        <w:rPr>
          <w:bCs/>
          <w:color w:val="000000" w:themeColor="text1"/>
          <w:szCs w:val="24"/>
          <w:shd w:val="clear" w:color="auto" w:fill="FFFFFF"/>
        </w:rPr>
        <w:t>,</w:t>
      </w:r>
      <w:r w:rsidRPr="006A51CE">
        <w:rPr>
          <w:bCs/>
          <w:color w:val="000000" w:themeColor="text1"/>
          <w:szCs w:val="24"/>
          <w:shd w:val="clear" w:color="auto" w:fill="FFFFFF"/>
        </w:rPr>
        <w:t xml:space="preserve"> os governos nacionais poderiam interferir na transmissão dos preços externos aos internos, via políticas cambia</w:t>
      </w:r>
      <w:r>
        <w:rPr>
          <w:bCs/>
          <w:color w:val="000000" w:themeColor="text1"/>
          <w:szCs w:val="24"/>
          <w:shd w:val="clear" w:color="auto" w:fill="FFFFFF"/>
        </w:rPr>
        <w:t>l -</w:t>
      </w:r>
      <w:r w:rsidRPr="006A51CE">
        <w:rPr>
          <w:bCs/>
          <w:color w:val="000000" w:themeColor="text1"/>
          <w:szCs w:val="24"/>
          <w:shd w:val="clear" w:color="auto" w:fill="FFFFFF"/>
        </w:rPr>
        <w:t xml:space="preserve"> desvalorizando ou valorizando a moeda nacional</w:t>
      </w:r>
      <w:r>
        <w:rPr>
          <w:bCs/>
          <w:color w:val="000000" w:themeColor="text1"/>
          <w:szCs w:val="24"/>
          <w:shd w:val="clear" w:color="auto" w:fill="FFFFFF"/>
        </w:rPr>
        <w:t xml:space="preserve"> -</w:t>
      </w:r>
      <w:r w:rsidRPr="006A51CE">
        <w:rPr>
          <w:bCs/>
          <w:color w:val="000000" w:themeColor="text1"/>
          <w:szCs w:val="24"/>
          <w:shd w:val="clear" w:color="auto" w:fill="FFFFFF"/>
        </w:rPr>
        <w:t xml:space="preserve"> e tributária, tarifando importações ou exportações.    </w:t>
      </w:r>
    </w:p>
    <w:p w14:paraId="32BE6ABB" w14:textId="77777777" w:rsidR="00B90028" w:rsidRPr="006A51CE" w:rsidRDefault="00B90028" w:rsidP="00B90028">
      <w:pPr>
        <w:pStyle w:val="NormalWeb"/>
        <w:shd w:val="clear" w:color="auto" w:fill="FFFFFF"/>
        <w:spacing w:before="0" w:after="0"/>
        <w:ind w:firstLine="708"/>
        <w:jc w:val="both"/>
        <w:textAlignment w:val="baseline"/>
        <w:rPr>
          <w:bCs/>
          <w:color w:val="000000" w:themeColor="text1"/>
          <w:szCs w:val="24"/>
          <w:shd w:val="clear" w:color="auto" w:fill="FFFFFF"/>
        </w:rPr>
      </w:pPr>
      <w:r w:rsidRPr="00FE4BB4">
        <w:rPr>
          <w:bCs/>
          <w:color w:val="000000" w:themeColor="text1"/>
          <w:szCs w:val="24"/>
          <w:shd w:val="clear" w:color="auto" w:fill="FFFFFF"/>
        </w:rPr>
        <w:t>Estudo do IPEA (2011) condiz com algumas das análises anteriores. Para o período de</w:t>
      </w:r>
      <w:r w:rsidRPr="006A51CE">
        <w:rPr>
          <w:bCs/>
          <w:color w:val="000000" w:themeColor="text1"/>
          <w:szCs w:val="24"/>
          <w:shd w:val="clear" w:color="auto" w:fill="FFFFFF"/>
        </w:rPr>
        <w:t xml:space="preserve"> janeiro de 2007 a maio de 2011, foi constatado que a inflação de alimentos no Brasil foi muito afetada pelo aumento expressivo dos preços externos (vide Figura 1) e, em decorrência, dos internos dos comercializáveis. Por seu lado, a elevação de preços dos não comercializáveis foi menor no período todo, embora com maiores flutuações ano a ano. Um terceiro grupo foi considerado, o da alimentação fora do domicílio, que também pressionou os preços dos alimentos, neste caso</w:t>
      </w:r>
      <w:r>
        <w:rPr>
          <w:bCs/>
          <w:color w:val="000000" w:themeColor="text1"/>
          <w:szCs w:val="24"/>
          <w:shd w:val="clear" w:color="auto" w:fill="FFFFFF"/>
        </w:rPr>
        <w:t>,</w:t>
      </w:r>
      <w:r w:rsidRPr="006A51CE">
        <w:rPr>
          <w:bCs/>
          <w:color w:val="000000" w:themeColor="text1"/>
          <w:szCs w:val="24"/>
          <w:shd w:val="clear" w:color="auto" w:fill="FFFFFF"/>
        </w:rPr>
        <w:t xml:space="preserve"> não devido aos acontecimentos na agricultura, mas devido ao encarecimento dos serviços.</w:t>
      </w:r>
    </w:p>
    <w:p w14:paraId="4E1152DD" w14:textId="76763CB3" w:rsidR="00B90028" w:rsidRPr="006A51CE" w:rsidRDefault="00B90028" w:rsidP="00B90028">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 xml:space="preserve">Até por abranger um período relativamente pequeno, faz-se duas contestações ao estudo do IPEA, ambas relacionadas à possibilidade de transmissão das variações de preços dos comercializáveis aos não comercializáveis. Os dois tipos de produtos disputam decisões de investimento e gastos dos agricultores, entendendo que um aumento dos preços dos comercializáveis, ao estimular a elevação da área plantada e produção, limite a expansão ou </w:t>
      </w:r>
      <w:r w:rsidRPr="006A51CE">
        <w:rPr>
          <w:bCs/>
          <w:color w:val="000000" w:themeColor="text1"/>
          <w:szCs w:val="24"/>
          <w:shd w:val="clear" w:color="auto" w:fill="FFFFFF"/>
        </w:rPr>
        <w:lastRenderedPageBreak/>
        <w:t xml:space="preserve">mesmo diminua a área e produção dos não comercializáveis, com efeitos prováveis em seus </w:t>
      </w:r>
      <w:r w:rsidRPr="00FE4BB4">
        <w:rPr>
          <w:bCs/>
          <w:color w:val="000000" w:themeColor="text1"/>
          <w:szCs w:val="24"/>
          <w:shd w:val="clear" w:color="auto" w:fill="FFFFFF"/>
        </w:rPr>
        <w:t>preços (BACCARIN</w:t>
      </w:r>
      <w:r w:rsidR="00FE4BB4" w:rsidRPr="00FE4BB4">
        <w:rPr>
          <w:bCs/>
          <w:color w:val="000000" w:themeColor="text1"/>
          <w:szCs w:val="24"/>
          <w:shd w:val="clear" w:color="auto" w:fill="FFFFFF"/>
        </w:rPr>
        <w:t>;</w:t>
      </w:r>
      <w:r w:rsidRPr="00FE4BB4">
        <w:rPr>
          <w:bCs/>
          <w:color w:val="000000" w:themeColor="text1"/>
          <w:szCs w:val="24"/>
          <w:shd w:val="clear" w:color="auto" w:fill="FFFFFF"/>
        </w:rPr>
        <w:t xml:space="preserve"> OLIVEIRA, 202</w:t>
      </w:r>
      <w:r w:rsidR="00FE4BB4" w:rsidRPr="00FE4BB4">
        <w:rPr>
          <w:bCs/>
          <w:color w:val="000000" w:themeColor="text1"/>
          <w:szCs w:val="24"/>
          <w:shd w:val="clear" w:color="auto" w:fill="FFFFFF"/>
        </w:rPr>
        <w:t>1</w:t>
      </w:r>
      <w:r w:rsidRPr="00FE4BB4">
        <w:rPr>
          <w:bCs/>
          <w:color w:val="000000" w:themeColor="text1"/>
          <w:szCs w:val="24"/>
          <w:shd w:val="clear" w:color="auto" w:fill="FFFFFF"/>
        </w:rPr>
        <w:t>). Sob o prisma da demanda de alimentos, Maluf e</w:t>
      </w:r>
      <w:r w:rsidRPr="006A51CE">
        <w:rPr>
          <w:bCs/>
          <w:color w:val="000000" w:themeColor="text1"/>
          <w:szCs w:val="24"/>
          <w:shd w:val="clear" w:color="auto" w:fill="FFFFFF"/>
        </w:rPr>
        <w:t xml:space="preserve"> </w:t>
      </w:r>
      <w:r w:rsidRPr="00FE4BB4">
        <w:rPr>
          <w:bCs/>
          <w:color w:val="000000" w:themeColor="text1"/>
          <w:szCs w:val="24"/>
          <w:shd w:val="clear" w:color="auto" w:fill="FFFFFF"/>
        </w:rPr>
        <w:t>Speranza (2013) sugerem que é possível que o aumento de preços de comercializáveis acarrete</w:t>
      </w:r>
      <w:r w:rsidRPr="006A51CE">
        <w:rPr>
          <w:bCs/>
          <w:color w:val="000000" w:themeColor="text1"/>
          <w:szCs w:val="24"/>
          <w:shd w:val="clear" w:color="auto" w:fill="FFFFFF"/>
        </w:rPr>
        <w:t xml:space="preserve"> elevação de preços e, em seguida, de produção, em não comercializáveis, desde que sejam produtos substitutos, o que poderia se dar, por exemplo, entre as diversas fontes de carboidratos, arroz, batata, mandioca e trigo.</w:t>
      </w:r>
    </w:p>
    <w:p w14:paraId="09A4B457" w14:textId="77777777" w:rsidR="00B90028" w:rsidRPr="006A51CE" w:rsidRDefault="00B90028" w:rsidP="00B90028">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A hipótese que se adota no trabalho é que o aumento das exportações líquidas de alimentos pelo Brasil no século XXI, em período marcado por preços internacionais altos, contribuiu para elevar, diretamente, os preços agrícolas dos comercializáveis e de alimentos derivados e, indiretamente, dos não comercializáveis.</w:t>
      </w:r>
    </w:p>
    <w:p w14:paraId="0EA72F19" w14:textId="289CDB0A" w:rsidR="00B90028" w:rsidRDefault="00B90028" w:rsidP="00B90028">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 xml:space="preserve">Conforme a Figura 1, a elevação dos preços dos alimentos, a partir de 2000, consiste em fenômeno global, não apenas brasileiro, como se pode constatar no Índice de Preços dos </w:t>
      </w:r>
      <w:r w:rsidRPr="00FE4BB4">
        <w:rPr>
          <w:bCs/>
          <w:color w:val="000000" w:themeColor="text1"/>
          <w:szCs w:val="24"/>
          <w:shd w:val="clear" w:color="auto" w:fill="FFFFFF"/>
        </w:rPr>
        <w:t>Alimentos da Organização das Nações Unidas para Alimentação e Agricultura (</w:t>
      </w:r>
      <w:r w:rsidRPr="00FE4BB4">
        <w:rPr>
          <w:bCs/>
          <w:szCs w:val="24"/>
          <w:shd w:val="clear" w:color="auto" w:fill="FFFFFF"/>
        </w:rPr>
        <w:t>FAO, 2022)</w:t>
      </w:r>
      <w:r w:rsidRPr="00FE4BB4">
        <w:rPr>
          <w:bCs/>
          <w:color w:val="000000" w:themeColor="text1"/>
          <w:szCs w:val="24"/>
          <w:shd w:val="clear" w:color="auto" w:fill="FFFFFF"/>
        </w:rPr>
        <w:t>.</w:t>
      </w:r>
      <w:r w:rsidRPr="006A51CE">
        <w:rPr>
          <w:bCs/>
          <w:color w:val="000000" w:themeColor="text1"/>
          <w:szCs w:val="24"/>
          <w:shd w:val="clear" w:color="auto" w:fill="FFFFFF"/>
        </w:rPr>
        <w:t xml:space="preserve"> Nas últimas quatro décadas do século XX, a tendência observada foi de queda do preço real dos alimentos, acompanhada de fortes flutuações no curto prazo. Entretanto, desde o início do século atual, passou a se constatar tendência de alta, que fez com que</w:t>
      </w:r>
      <w:r>
        <w:rPr>
          <w:bCs/>
          <w:color w:val="000000" w:themeColor="text1"/>
          <w:szCs w:val="24"/>
          <w:shd w:val="clear" w:color="auto" w:fill="FFFFFF"/>
        </w:rPr>
        <w:t>,</w:t>
      </w:r>
      <w:r w:rsidRPr="006A51CE">
        <w:rPr>
          <w:bCs/>
          <w:color w:val="000000" w:themeColor="text1"/>
          <w:szCs w:val="24"/>
          <w:shd w:val="clear" w:color="auto" w:fill="FFFFFF"/>
        </w:rPr>
        <w:t xml:space="preserve"> em 2021</w:t>
      </w:r>
      <w:r>
        <w:rPr>
          <w:bCs/>
          <w:color w:val="000000" w:themeColor="text1"/>
          <w:szCs w:val="24"/>
          <w:shd w:val="clear" w:color="auto" w:fill="FFFFFF"/>
        </w:rPr>
        <w:t>,</w:t>
      </w:r>
      <w:r w:rsidRPr="006A51CE">
        <w:rPr>
          <w:bCs/>
          <w:color w:val="000000" w:themeColor="text1"/>
          <w:szCs w:val="24"/>
          <w:shd w:val="clear" w:color="auto" w:fill="FFFFFF"/>
        </w:rPr>
        <w:t xml:space="preserve"> o índice de preços da FAO fosse duas vezes maior do que o registrado em 2000. Detalhando mais, entre 2000 e 2011, com exceção de 2009, os preços dos alimentos subiram fortemente. Após, verificou-se movimento de baixa</w:t>
      </w:r>
      <w:r>
        <w:rPr>
          <w:bCs/>
          <w:color w:val="000000" w:themeColor="text1"/>
          <w:szCs w:val="24"/>
          <w:shd w:val="clear" w:color="auto" w:fill="FFFFFF"/>
        </w:rPr>
        <w:t xml:space="preserve"> até 2018</w:t>
      </w:r>
      <w:r w:rsidRPr="006A51CE">
        <w:rPr>
          <w:bCs/>
          <w:color w:val="000000" w:themeColor="text1"/>
          <w:szCs w:val="24"/>
          <w:shd w:val="clear" w:color="auto" w:fill="FFFFFF"/>
        </w:rPr>
        <w:t xml:space="preserve">, </w:t>
      </w:r>
      <w:r w:rsidR="00132487">
        <w:rPr>
          <w:bCs/>
          <w:color w:val="000000" w:themeColor="text1"/>
          <w:szCs w:val="24"/>
          <w:shd w:val="clear" w:color="auto" w:fill="FFFFFF"/>
        </w:rPr>
        <w:t xml:space="preserve">contudo, </w:t>
      </w:r>
      <w:r w:rsidRPr="006A51CE">
        <w:rPr>
          <w:bCs/>
          <w:color w:val="000000" w:themeColor="text1"/>
          <w:szCs w:val="24"/>
          <w:shd w:val="clear" w:color="auto" w:fill="FFFFFF"/>
        </w:rPr>
        <w:t>sem que se voltasse aos patamares do início do século. O movimento de elevação</w:t>
      </w:r>
      <w:r w:rsidR="00E72CD2">
        <w:rPr>
          <w:bCs/>
          <w:color w:val="000000" w:themeColor="text1"/>
          <w:szCs w:val="24"/>
          <w:shd w:val="clear" w:color="auto" w:fill="FFFFFF"/>
        </w:rPr>
        <w:t>,</w:t>
      </w:r>
      <w:r w:rsidRPr="006A51CE">
        <w:rPr>
          <w:bCs/>
          <w:color w:val="000000" w:themeColor="text1"/>
          <w:szCs w:val="24"/>
          <w:shd w:val="clear" w:color="auto" w:fill="FFFFFF"/>
        </w:rPr>
        <w:t xml:space="preserve"> que começou a se insinuar em 2019, tornou-se vertiginoso nos dois anos da pandemia da </w:t>
      </w:r>
      <w:r>
        <w:rPr>
          <w:bCs/>
          <w:color w:val="000000" w:themeColor="text1"/>
          <w:szCs w:val="24"/>
          <w:shd w:val="clear" w:color="auto" w:fill="FFFFFF"/>
        </w:rPr>
        <w:t>c</w:t>
      </w:r>
      <w:r w:rsidRPr="006A51CE">
        <w:rPr>
          <w:bCs/>
          <w:color w:val="000000" w:themeColor="text1"/>
          <w:szCs w:val="24"/>
          <w:shd w:val="clear" w:color="auto" w:fill="FFFFFF"/>
        </w:rPr>
        <w:t>ovid</w:t>
      </w:r>
      <w:r>
        <w:rPr>
          <w:bCs/>
          <w:color w:val="000000" w:themeColor="text1"/>
          <w:szCs w:val="24"/>
          <w:shd w:val="clear" w:color="auto" w:fill="FFFFFF"/>
        </w:rPr>
        <w:t>-</w:t>
      </w:r>
      <w:r w:rsidRPr="006A51CE">
        <w:rPr>
          <w:bCs/>
          <w:color w:val="000000" w:themeColor="text1"/>
          <w:szCs w:val="24"/>
          <w:shd w:val="clear" w:color="auto" w:fill="FFFFFF"/>
        </w:rPr>
        <w:t>19, em 2020 e 202</w:t>
      </w:r>
      <w:r>
        <w:rPr>
          <w:bCs/>
          <w:color w:val="000000" w:themeColor="text1"/>
          <w:szCs w:val="24"/>
          <w:shd w:val="clear" w:color="auto" w:fill="FFFFFF"/>
        </w:rPr>
        <w:t>1</w:t>
      </w:r>
      <w:r w:rsidRPr="006A51CE">
        <w:rPr>
          <w:bCs/>
          <w:color w:val="000000" w:themeColor="text1"/>
          <w:szCs w:val="24"/>
          <w:shd w:val="clear" w:color="auto" w:fill="FFFFFF"/>
        </w:rPr>
        <w:t>.</w:t>
      </w:r>
    </w:p>
    <w:p w14:paraId="3EC67C1E" w14:textId="77777777" w:rsidR="00B90028" w:rsidRDefault="00B90028" w:rsidP="00E72CD2">
      <w:pPr>
        <w:pStyle w:val="paragraph"/>
        <w:spacing w:before="0" w:beforeAutospacing="0" w:after="0" w:afterAutospacing="0"/>
        <w:jc w:val="both"/>
        <w:textAlignment w:val="baseline"/>
        <w:rPr>
          <w:b/>
          <w:color w:val="000000" w:themeColor="text1"/>
        </w:rPr>
      </w:pPr>
      <w:r w:rsidRPr="006A51CE">
        <w:rPr>
          <w:rStyle w:val="normaltextrun"/>
          <w:b/>
          <w:color w:val="000000" w:themeColor="text1"/>
        </w:rPr>
        <w:t>Figura 1.</w:t>
      </w:r>
      <w:r w:rsidRPr="006A51CE">
        <w:rPr>
          <w:rStyle w:val="normaltextrun"/>
          <w:color w:val="000000" w:themeColor="text1"/>
        </w:rPr>
        <w:t xml:space="preserve"> Variação do Índice de Preços Reais dos Alimentos da FAO, 1961 a 202</w:t>
      </w:r>
      <w:r>
        <w:rPr>
          <w:rStyle w:val="normaltextrun"/>
          <w:color w:val="000000" w:themeColor="text1"/>
        </w:rPr>
        <w:t>2</w:t>
      </w:r>
      <w:r w:rsidRPr="006A51CE">
        <w:rPr>
          <w:rStyle w:val="normaltextrun"/>
          <w:color w:val="000000" w:themeColor="text1"/>
        </w:rPr>
        <w:t>.</w:t>
      </w:r>
    </w:p>
    <w:p w14:paraId="5F9460EA" w14:textId="558E34BE" w:rsidR="00B90028" w:rsidRDefault="00B15EDC" w:rsidP="00B15EDC">
      <w:pPr>
        <w:pStyle w:val="paragraph"/>
        <w:spacing w:before="0" w:beforeAutospacing="0" w:after="0" w:afterAutospacing="0"/>
        <w:jc w:val="center"/>
        <w:textAlignment w:val="baseline"/>
        <w:rPr>
          <w:b/>
          <w:color w:val="000000" w:themeColor="text1"/>
        </w:rPr>
      </w:pPr>
      <w:r w:rsidRPr="00422FC9">
        <w:rPr>
          <w:b/>
          <w:noProof/>
          <w:color w:val="000000" w:themeColor="text1"/>
        </w:rPr>
        <w:drawing>
          <wp:inline distT="0" distB="0" distL="0" distR="0" wp14:anchorId="4B8A51C3" wp14:editId="263D33B6">
            <wp:extent cx="5759450" cy="2209585"/>
            <wp:effectExtent l="0" t="0" r="0" b="635"/>
            <wp:docPr id="12" name="Imagem 12"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Gráfico, Gráfico de linhas&#10;&#10;Descrição gerada automaticamente"/>
                    <pic:cNvPicPr/>
                  </pic:nvPicPr>
                  <pic:blipFill rotWithShape="1">
                    <a:blip r:embed="rId10"/>
                    <a:srcRect l="2274"/>
                    <a:stretch/>
                  </pic:blipFill>
                  <pic:spPr bwMode="auto">
                    <a:xfrm>
                      <a:off x="0" y="0"/>
                      <a:ext cx="5759450" cy="2209585"/>
                    </a:xfrm>
                    <a:prstGeom prst="rect">
                      <a:avLst/>
                    </a:prstGeom>
                    <a:ln>
                      <a:noFill/>
                    </a:ln>
                    <a:extLst>
                      <a:ext uri="{53640926-AAD7-44D8-BBD7-CCE9431645EC}">
                        <a14:shadowObscured xmlns:a14="http://schemas.microsoft.com/office/drawing/2010/main"/>
                      </a:ext>
                    </a:extLst>
                  </pic:spPr>
                </pic:pic>
              </a:graphicData>
            </a:graphic>
          </wp:inline>
        </w:drawing>
      </w:r>
    </w:p>
    <w:p w14:paraId="5A56DEED" w14:textId="77777777" w:rsidR="00B90028" w:rsidRDefault="00B90028" w:rsidP="00B90028">
      <w:pPr>
        <w:pStyle w:val="paragraph"/>
        <w:spacing w:before="0" w:beforeAutospacing="0" w:after="0" w:afterAutospacing="0"/>
        <w:textAlignment w:val="baseline"/>
        <w:rPr>
          <w:color w:val="000000" w:themeColor="text1"/>
        </w:rPr>
      </w:pPr>
      <w:r w:rsidRPr="00FE4BB4">
        <w:rPr>
          <w:b/>
          <w:color w:val="000000" w:themeColor="text1"/>
        </w:rPr>
        <w:t>Fonte:</w:t>
      </w:r>
      <w:r w:rsidRPr="00FE4BB4">
        <w:rPr>
          <w:color w:val="000000" w:themeColor="text1"/>
        </w:rPr>
        <w:t xml:space="preserve"> Elaborado pelos autores com dados da FAO (2022).</w:t>
      </w:r>
    </w:p>
    <w:p w14:paraId="51B315D8" w14:textId="64BF7516" w:rsidR="00B90028" w:rsidRPr="006A51CE" w:rsidRDefault="00B90028" w:rsidP="00B90028">
      <w:pPr>
        <w:pStyle w:val="paragraph"/>
        <w:spacing w:before="0" w:beforeAutospacing="0" w:after="0" w:afterAutospacing="0"/>
        <w:ind w:firstLine="708"/>
        <w:jc w:val="both"/>
        <w:textAlignment w:val="baseline"/>
        <w:rPr>
          <w:bCs/>
          <w:color w:val="000000" w:themeColor="text1"/>
          <w:shd w:val="clear" w:color="auto" w:fill="FFFFFF"/>
        </w:rPr>
      </w:pPr>
      <w:r w:rsidRPr="006A51CE">
        <w:rPr>
          <w:bCs/>
          <w:color w:val="000000" w:themeColor="text1"/>
          <w:shd w:val="clear" w:color="auto" w:fill="FFFFFF"/>
        </w:rPr>
        <w:t xml:space="preserve">De acordo </w:t>
      </w:r>
      <w:r w:rsidRPr="005B6746">
        <w:rPr>
          <w:bCs/>
          <w:color w:val="000000" w:themeColor="text1"/>
          <w:shd w:val="clear" w:color="auto" w:fill="FFFFFF"/>
        </w:rPr>
        <w:t>com Braun (2007),</w:t>
      </w:r>
      <w:r w:rsidRPr="006A51CE">
        <w:rPr>
          <w:bCs/>
          <w:color w:val="000000" w:themeColor="text1"/>
          <w:shd w:val="clear" w:color="auto" w:fill="FFFFFF"/>
        </w:rPr>
        <w:t xml:space="preserve"> na década de 2000, a situação alimentar mundial </w:t>
      </w:r>
      <w:r w:rsidR="00E72CD2">
        <w:rPr>
          <w:bCs/>
          <w:color w:val="000000" w:themeColor="text1"/>
          <w:shd w:val="clear" w:color="auto" w:fill="FFFFFF"/>
        </w:rPr>
        <w:t>foi</w:t>
      </w:r>
      <w:r w:rsidRPr="006A51CE">
        <w:rPr>
          <w:bCs/>
          <w:color w:val="000000" w:themeColor="text1"/>
          <w:shd w:val="clear" w:color="auto" w:fill="FFFFFF"/>
        </w:rPr>
        <w:t xml:space="preserve"> redefinida pelo crescimento da renda, mudanças climáticas, altos preços da energia, globalização e urbanização. O crescimento econômico vivenciado por países emergentes e populosos – principalmente China e Índia - impulsionou o crescimento da demanda mundial por alimentos. Por sua vez, a produção</w:t>
      </w:r>
      <w:r>
        <w:rPr>
          <w:bCs/>
          <w:color w:val="000000" w:themeColor="text1"/>
          <w:shd w:val="clear" w:color="auto" w:fill="FFFFFF"/>
        </w:rPr>
        <w:t xml:space="preserve">, ainda que </w:t>
      </w:r>
      <w:r w:rsidR="00E72CD2">
        <w:rPr>
          <w:bCs/>
          <w:color w:val="000000" w:themeColor="text1"/>
          <w:shd w:val="clear" w:color="auto" w:fill="FFFFFF"/>
        </w:rPr>
        <w:t>em crescimento</w:t>
      </w:r>
      <w:r>
        <w:rPr>
          <w:bCs/>
          <w:color w:val="000000" w:themeColor="text1"/>
          <w:shd w:val="clear" w:color="auto" w:fill="FFFFFF"/>
        </w:rPr>
        <w:t xml:space="preserve">, </w:t>
      </w:r>
      <w:r w:rsidRPr="006A51CE">
        <w:rPr>
          <w:bCs/>
          <w:color w:val="000000" w:themeColor="text1"/>
          <w:shd w:val="clear" w:color="auto" w:fill="FFFFFF"/>
        </w:rPr>
        <w:t xml:space="preserve">não </w:t>
      </w:r>
      <w:r>
        <w:rPr>
          <w:bCs/>
          <w:color w:val="000000" w:themeColor="text1"/>
          <w:shd w:val="clear" w:color="auto" w:fill="FFFFFF"/>
        </w:rPr>
        <w:t xml:space="preserve">conseguiu </w:t>
      </w:r>
      <w:r w:rsidRPr="006A51CE">
        <w:rPr>
          <w:bCs/>
          <w:color w:val="000000" w:themeColor="text1"/>
          <w:shd w:val="clear" w:color="auto" w:fill="FFFFFF"/>
        </w:rPr>
        <w:t>responde</w:t>
      </w:r>
      <w:r>
        <w:rPr>
          <w:bCs/>
          <w:color w:val="000000" w:themeColor="text1"/>
          <w:shd w:val="clear" w:color="auto" w:fill="FFFFFF"/>
        </w:rPr>
        <w:t>r</w:t>
      </w:r>
      <w:r w:rsidRPr="006A51CE">
        <w:rPr>
          <w:bCs/>
          <w:color w:val="000000" w:themeColor="text1"/>
          <w:shd w:val="clear" w:color="auto" w:fill="FFFFFF"/>
        </w:rPr>
        <w:t xml:space="preserve"> </w:t>
      </w:r>
      <w:r>
        <w:rPr>
          <w:bCs/>
          <w:color w:val="000000" w:themeColor="text1"/>
          <w:shd w:val="clear" w:color="auto" w:fill="FFFFFF"/>
        </w:rPr>
        <w:t>integral</w:t>
      </w:r>
      <w:r w:rsidR="00E72CD2">
        <w:rPr>
          <w:bCs/>
          <w:color w:val="000000" w:themeColor="text1"/>
          <w:shd w:val="clear" w:color="auto" w:fill="FFFFFF"/>
        </w:rPr>
        <w:t>mente</w:t>
      </w:r>
      <w:r w:rsidRPr="006A51CE">
        <w:rPr>
          <w:bCs/>
          <w:color w:val="000000" w:themeColor="text1"/>
          <w:shd w:val="clear" w:color="auto" w:fill="FFFFFF"/>
        </w:rPr>
        <w:t xml:space="preserve"> à</w:t>
      </w:r>
      <w:r>
        <w:rPr>
          <w:bCs/>
          <w:color w:val="000000" w:themeColor="text1"/>
          <w:shd w:val="clear" w:color="auto" w:fill="FFFFFF"/>
        </w:rPr>
        <w:t>quelas</w:t>
      </w:r>
      <w:r w:rsidRPr="006A51CE">
        <w:rPr>
          <w:bCs/>
          <w:color w:val="000000" w:themeColor="text1"/>
          <w:shd w:val="clear" w:color="auto" w:fill="FFFFFF"/>
        </w:rPr>
        <w:t xml:space="preserve"> mudanças de mercado, ocasionando aumento dos preços.</w:t>
      </w:r>
    </w:p>
    <w:p w14:paraId="5E59E0F3" w14:textId="77777777" w:rsidR="00B90028" w:rsidRPr="006A51CE" w:rsidRDefault="00B90028" w:rsidP="00B90028">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Em termos globais, não se consegue visualizar</w:t>
      </w:r>
      <w:r>
        <w:rPr>
          <w:bCs/>
          <w:color w:val="000000" w:themeColor="text1"/>
          <w:szCs w:val="24"/>
          <w:shd w:val="clear" w:color="auto" w:fill="FFFFFF"/>
        </w:rPr>
        <w:t>, a todo momento,</w:t>
      </w:r>
      <w:r w:rsidRPr="006A51CE">
        <w:rPr>
          <w:bCs/>
          <w:color w:val="000000" w:themeColor="text1"/>
          <w:szCs w:val="24"/>
          <w:shd w:val="clear" w:color="auto" w:fill="FFFFFF"/>
        </w:rPr>
        <w:t xml:space="preserve"> uma relação direta entre elevação dos preços dos alimentos e aumento da insegurança alimentar e nutricional, que </w:t>
      </w:r>
      <w:r w:rsidRPr="005B6746">
        <w:rPr>
          <w:bCs/>
          <w:color w:val="000000" w:themeColor="text1"/>
          <w:szCs w:val="24"/>
          <w:shd w:val="clear" w:color="auto" w:fill="FFFFFF"/>
        </w:rPr>
        <w:t>é influenciada por diversos outros condicionantes. Segundo a FAO e outras instituições (</w:t>
      </w:r>
      <w:r w:rsidRPr="005B6746">
        <w:rPr>
          <w:bCs/>
          <w:color w:val="000000" w:themeColor="text1"/>
          <w:szCs w:val="24"/>
          <w:shd w:val="clear" w:color="auto" w:fill="FFFFFF"/>
          <w:lang w:val="en-US"/>
        </w:rPr>
        <w:t>FAO; IFAD; WFP,</w:t>
      </w:r>
      <w:r w:rsidRPr="005B6746">
        <w:rPr>
          <w:bCs/>
          <w:color w:val="000000" w:themeColor="text1"/>
          <w:szCs w:val="24"/>
          <w:shd w:val="clear" w:color="auto" w:fill="FFFFFF"/>
        </w:rPr>
        <w:t xml:space="preserve"> 2015; </w:t>
      </w:r>
      <w:r w:rsidRPr="005B6746">
        <w:rPr>
          <w:bCs/>
          <w:color w:val="000000" w:themeColor="text1"/>
          <w:szCs w:val="24"/>
          <w:shd w:val="clear" w:color="auto" w:fill="FFFFFF"/>
          <w:lang w:val="en-US"/>
        </w:rPr>
        <w:t>FAO; IFAD; UNICEF; WFP; WHO</w:t>
      </w:r>
      <w:r w:rsidRPr="005B6746">
        <w:rPr>
          <w:bCs/>
          <w:color w:val="000000" w:themeColor="text1"/>
          <w:szCs w:val="24"/>
          <w:shd w:val="clear" w:color="auto" w:fill="FFFFFF"/>
        </w:rPr>
        <w:t>, 2020), através do Índice de</w:t>
      </w:r>
      <w:r w:rsidRPr="006A51CE">
        <w:rPr>
          <w:bCs/>
          <w:color w:val="000000" w:themeColor="text1"/>
          <w:szCs w:val="24"/>
          <w:shd w:val="clear" w:color="auto" w:fill="FFFFFF"/>
        </w:rPr>
        <w:t xml:space="preserve"> </w:t>
      </w:r>
      <w:r w:rsidRPr="006A51CE">
        <w:rPr>
          <w:bCs/>
          <w:color w:val="000000" w:themeColor="text1"/>
          <w:szCs w:val="24"/>
          <w:shd w:val="clear" w:color="auto" w:fill="FFFFFF"/>
        </w:rPr>
        <w:lastRenderedPageBreak/>
        <w:t>Prevalência da Desnutrição, estima-se que o número de pessoas em situação de desnutrição reduziu</w:t>
      </w:r>
      <w:r>
        <w:rPr>
          <w:bCs/>
          <w:color w:val="000000" w:themeColor="text1"/>
          <w:szCs w:val="24"/>
          <w:shd w:val="clear" w:color="auto" w:fill="FFFFFF"/>
        </w:rPr>
        <w:t>, de forma contínua,</w:t>
      </w:r>
      <w:r w:rsidRPr="006A51CE">
        <w:rPr>
          <w:bCs/>
          <w:color w:val="000000" w:themeColor="text1"/>
          <w:szCs w:val="24"/>
          <w:shd w:val="clear" w:color="auto" w:fill="FFFFFF"/>
        </w:rPr>
        <w:t xml:space="preserve"> em 216 milhões no mundo, entre 1990-92 e 2015. A partir de então, o número de desnutridos cresceu em 60 milhões, alcançando 690 milhões de pessoas, cerca de 8,9% da população global, em 2019. </w:t>
      </w:r>
    </w:p>
    <w:p w14:paraId="3917B02E" w14:textId="1525C425" w:rsidR="00B90028" w:rsidRPr="005B6746" w:rsidRDefault="00B90028" w:rsidP="00B90028">
      <w:pPr>
        <w:pStyle w:val="NormalWeb"/>
        <w:shd w:val="clear" w:color="auto" w:fill="FFFFFF"/>
        <w:spacing w:before="0" w:after="0"/>
        <w:ind w:firstLine="708"/>
        <w:jc w:val="both"/>
        <w:textAlignment w:val="baseline"/>
        <w:rPr>
          <w:bCs/>
          <w:color w:val="000000" w:themeColor="text1"/>
          <w:szCs w:val="24"/>
          <w:shd w:val="clear" w:color="auto" w:fill="FFFFFF"/>
        </w:rPr>
      </w:pPr>
      <w:r w:rsidRPr="005B6746">
        <w:rPr>
          <w:bCs/>
          <w:color w:val="000000" w:themeColor="text1"/>
          <w:szCs w:val="24"/>
          <w:shd w:val="clear" w:color="auto" w:fill="FFFFFF"/>
        </w:rPr>
        <w:t>Conforme Boliko (2019), o aumento recente da fome esteve relacionado às seguintes</w:t>
      </w:r>
      <w:r w:rsidRPr="006A51CE">
        <w:rPr>
          <w:bCs/>
          <w:color w:val="000000" w:themeColor="text1"/>
          <w:szCs w:val="24"/>
          <w:shd w:val="clear" w:color="auto" w:fill="FFFFFF"/>
        </w:rPr>
        <w:t xml:space="preserve"> causas: i) aumento da exposição a mudanças climáticas, em especial nos países com maior vulnerabilidade; ii) maior nível de insegurança alimentar e subnutrição em países em conflito; e iii) desaceleração econômica. Particularmente, a África foi muito atingida por estes fatos, com </w:t>
      </w:r>
      <w:r w:rsidRPr="005B6746">
        <w:rPr>
          <w:bCs/>
          <w:color w:val="000000" w:themeColor="text1"/>
          <w:szCs w:val="24"/>
          <w:shd w:val="clear" w:color="auto" w:fill="FFFFFF"/>
        </w:rPr>
        <w:t xml:space="preserve">o agravante </w:t>
      </w:r>
      <w:r w:rsidR="009A015D" w:rsidRPr="005B6746">
        <w:rPr>
          <w:bCs/>
          <w:color w:val="000000" w:themeColor="text1"/>
          <w:szCs w:val="24"/>
          <w:shd w:val="clear" w:color="auto" w:fill="FFFFFF"/>
        </w:rPr>
        <w:t xml:space="preserve">de </w:t>
      </w:r>
      <w:r w:rsidRPr="005B6746">
        <w:rPr>
          <w:bCs/>
          <w:color w:val="000000" w:themeColor="text1"/>
          <w:szCs w:val="24"/>
          <w:shd w:val="clear" w:color="auto" w:fill="FFFFFF"/>
        </w:rPr>
        <w:t>que neste continente a importação líquida de alimentos tem crescido (OCDE</w:t>
      </w:r>
      <w:r w:rsidR="005B6746" w:rsidRPr="005B6746">
        <w:rPr>
          <w:bCs/>
          <w:color w:val="000000" w:themeColor="text1"/>
          <w:szCs w:val="24"/>
          <w:shd w:val="clear" w:color="auto" w:fill="FFFFFF"/>
        </w:rPr>
        <w:t>;</w:t>
      </w:r>
      <w:r w:rsidRPr="005B6746">
        <w:rPr>
          <w:bCs/>
          <w:color w:val="000000" w:themeColor="text1"/>
          <w:szCs w:val="24"/>
          <w:shd w:val="clear" w:color="auto" w:fill="FFFFFF"/>
        </w:rPr>
        <w:t xml:space="preserve"> FAO, 2020).</w:t>
      </w:r>
    </w:p>
    <w:p w14:paraId="5CCEAFBF" w14:textId="77777777" w:rsidR="00B90028" w:rsidRPr="005B6746" w:rsidRDefault="00B90028" w:rsidP="00B90028">
      <w:pPr>
        <w:pStyle w:val="NormalWeb"/>
        <w:shd w:val="clear" w:color="auto" w:fill="FFFFFF"/>
        <w:spacing w:before="0" w:after="0"/>
        <w:ind w:firstLine="708"/>
        <w:jc w:val="both"/>
        <w:textAlignment w:val="baseline"/>
        <w:rPr>
          <w:bCs/>
          <w:color w:val="000000" w:themeColor="text1"/>
          <w:szCs w:val="24"/>
          <w:shd w:val="clear" w:color="auto" w:fill="FFFFFF"/>
        </w:rPr>
      </w:pPr>
      <w:r w:rsidRPr="005B6746">
        <w:rPr>
          <w:bCs/>
          <w:color w:val="000000" w:themeColor="text1"/>
          <w:szCs w:val="24"/>
          <w:shd w:val="clear" w:color="auto" w:fill="FFFFFF"/>
        </w:rPr>
        <w:t xml:space="preserve">Ainda que os números não estejam totalmente disponíveis, muito provavelmente os indicadores de desnutrição se agravaram nos anos da pandemia, em decorrência da crise econômica, do aumento da desocupação e da redução da renda </w:t>
      </w:r>
      <w:r w:rsidRPr="005B6746">
        <w:rPr>
          <w:bCs/>
          <w:i/>
          <w:iCs/>
          <w:color w:val="000000" w:themeColor="text1"/>
          <w:szCs w:val="24"/>
          <w:shd w:val="clear" w:color="auto" w:fill="FFFFFF"/>
        </w:rPr>
        <w:t>per capita</w:t>
      </w:r>
      <w:r w:rsidRPr="005B6746">
        <w:rPr>
          <w:bCs/>
          <w:color w:val="000000" w:themeColor="text1"/>
          <w:szCs w:val="24"/>
          <w:shd w:val="clear" w:color="auto" w:fill="FFFFFF"/>
        </w:rPr>
        <w:t xml:space="preserve"> constatados na maioria dos países. Neste ambiente, a inflação de alimentos, que se acentuou em 2020 e 2021, impactou ainda mais negativamente as condições alimentares da população.</w:t>
      </w:r>
    </w:p>
    <w:p w14:paraId="003926D4" w14:textId="510AF2C0" w:rsidR="00B90028" w:rsidRPr="006A51CE" w:rsidRDefault="00B90028" w:rsidP="00B90028">
      <w:pPr>
        <w:pStyle w:val="NormalWeb"/>
        <w:shd w:val="clear" w:color="auto" w:fill="FFFFFF"/>
        <w:spacing w:before="0" w:after="0"/>
        <w:ind w:firstLine="708"/>
        <w:jc w:val="both"/>
        <w:textAlignment w:val="baseline"/>
        <w:rPr>
          <w:bCs/>
          <w:color w:val="000000" w:themeColor="text1"/>
          <w:szCs w:val="24"/>
          <w:shd w:val="clear" w:color="auto" w:fill="FFFFFF"/>
        </w:rPr>
      </w:pPr>
      <w:r w:rsidRPr="005B6746">
        <w:rPr>
          <w:bCs/>
          <w:color w:val="000000" w:themeColor="text1"/>
          <w:szCs w:val="24"/>
          <w:shd w:val="clear" w:color="auto" w:fill="FFFFFF"/>
        </w:rPr>
        <w:t>Diferentemente da Ásia e da África, importadores líquidos, a América do Sul tem</w:t>
      </w:r>
      <w:r w:rsidR="00DF3E9E">
        <w:rPr>
          <w:bCs/>
          <w:color w:val="000000" w:themeColor="text1"/>
          <w:szCs w:val="24"/>
          <w:shd w:val="clear" w:color="auto" w:fill="FFFFFF"/>
        </w:rPr>
        <w:t xml:space="preserve"> se</w:t>
      </w:r>
      <w:r w:rsidRPr="005B6746">
        <w:rPr>
          <w:bCs/>
          <w:color w:val="000000" w:themeColor="text1"/>
          <w:szCs w:val="24"/>
          <w:shd w:val="clear" w:color="auto" w:fill="FFFFFF"/>
        </w:rPr>
        <w:t xml:space="preserve"> apresentado como exportador líquido de alimentos, em grande parte devido aos desempenhos da Argentina e, especialmente, do Brasil (OCDE</w:t>
      </w:r>
      <w:r w:rsidR="005B6746" w:rsidRPr="005B6746">
        <w:rPr>
          <w:bCs/>
          <w:color w:val="000000" w:themeColor="text1"/>
          <w:szCs w:val="24"/>
          <w:shd w:val="clear" w:color="auto" w:fill="FFFFFF"/>
        </w:rPr>
        <w:t>;</w:t>
      </w:r>
      <w:r w:rsidRPr="005B6746">
        <w:rPr>
          <w:bCs/>
          <w:color w:val="000000" w:themeColor="text1"/>
          <w:szCs w:val="24"/>
          <w:shd w:val="clear" w:color="auto" w:fill="FFFFFF"/>
        </w:rPr>
        <w:t xml:space="preserve"> FAO, 2020). Como já informado, a participação deste país no comércio internacional vem aumentando desde os anos 1990, quando</w:t>
      </w:r>
      <w:r w:rsidRPr="006A51CE">
        <w:rPr>
          <w:bCs/>
          <w:color w:val="000000" w:themeColor="text1"/>
          <w:szCs w:val="24"/>
          <w:shd w:val="clear" w:color="auto" w:fill="FFFFFF"/>
        </w:rPr>
        <w:t xml:space="preserve"> representava </w:t>
      </w:r>
      <w:r w:rsidRPr="006A51CE">
        <w:t xml:space="preserve">2,4% das exportações agrícolas mundiais. Em 2000, este valor tinha passado para 3,1% e, no século XXI, mostrou ainda maior dinamismo, atingindo 5,9%, em 2010, e 7,7%, em </w:t>
      </w:r>
      <w:r w:rsidRPr="00B16FAF">
        <w:t>2019 (FAO, 2021).</w:t>
      </w:r>
    </w:p>
    <w:p w14:paraId="2B9350D5" w14:textId="26D94F0F" w:rsidR="00B90028" w:rsidRDefault="00B90028" w:rsidP="00B90028">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 xml:space="preserve">A Figura 2 registra a evolução relativa dos fluxos comerciais do agronegócio brasileiro. Eles não têm a mesma composição dos fluxos agrícolas da FAO, mas apresentam trajetória semelhante. Entre 1997 e 2019, o valor da importação do agronegócio brasileiro variou 69,3%, com o pico sendo registrado em 2011. Levando em conta o aumento dos preços internacionais </w:t>
      </w:r>
      <w:r w:rsidRPr="00B16FAF">
        <w:rPr>
          <w:bCs/>
          <w:color w:val="000000" w:themeColor="text1"/>
          <w:szCs w:val="24"/>
          <w:shd w:val="clear" w:color="auto" w:fill="FFFFFF"/>
        </w:rPr>
        <w:t>agrícolas da Figura 1 e o crescimento de 32% na população brasileira, de 1997 a 2019 (IBGE, 2022</w:t>
      </w:r>
      <w:r w:rsidR="00B16FAF">
        <w:rPr>
          <w:bCs/>
          <w:color w:val="000000" w:themeColor="text1"/>
          <w:szCs w:val="24"/>
          <w:shd w:val="clear" w:color="auto" w:fill="FFFFFF"/>
        </w:rPr>
        <w:t>a</w:t>
      </w:r>
      <w:r w:rsidRPr="00B16FAF">
        <w:rPr>
          <w:bCs/>
          <w:color w:val="000000" w:themeColor="text1"/>
          <w:szCs w:val="24"/>
          <w:shd w:val="clear" w:color="auto" w:fill="FFFFFF"/>
        </w:rPr>
        <w:t xml:space="preserve">), é provável que o crescimento da importação </w:t>
      </w:r>
      <w:r w:rsidRPr="00B16FAF">
        <w:rPr>
          <w:bCs/>
          <w:i/>
          <w:iCs/>
          <w:color w:val="000000" w:themeColor="text1"/>
          <w:szCs w:val="24"/>
          <w:shd w:val="clear" w:color="auto" w:fill="FFFFFF"/>
        </w:rPr>
        <w:t>per capita</w:t>
      </w:r>
      <w:r w:rsidRPr="00B16FAF">
        <w:rPr>
          <w:bCs/>
          <w:color w:val="000000" w:themeColor="text1"/>
          <w:szCs w:val="24"/>
          <w:shd w:val="clear" w:color="auto" w:fill="FFFFFF"/>
        </w:rPr>
        <w:t xml:space="preserve"> em peso tenha ficado próximo</w:t>
      </w:r>
      <w:r w:rsidRPr="006A51CE">
        <w:rPr>
          <w:bCs/>
          <w:color w:val="000000" w:themeColor="text1"/>
          <w:szCs w:val="24"/>
          <w:shd w:val="clear" w:color="auto" w:fill="FFFFFF"/>
        </w:rPr>
        <w:t xml:space="preserve"> a zero. Algo diverso ocorreu com a exportação, o crescimento de 313,6% em seu valor monetário indica que houve elevação bastante significativa também em sua quantidade física. A diferença de desempenho da exportação e importação levaram ao sado comercial do agronegócio brasileiro a </w:t>
      </w:r>
      <w:r>
        <w:rPr>
          <w:bCs/>
          <w:color w:val="000000" w:themeColor="text1"/>
          <w:szCs w:val="24"/>
          <w:shd w:val="clear" w:color="auto" w:fill="FFFFFF"/>
        </w:rPr>
        <w:t xml:space="preserve">se </w:t>
      </w:r>
      <w:r w:rsidRPr="006A51CE">
        <w:rPr>
          <w:bCs/>
          <w:color w:val="000000" w:themeColor="text1"/>
          <w:szCs w:val="24"/>
          <w:shd w:val="clear" w:color="auto" w:fill="FFFFFF"/>
        </w:rPr>
        <w:t>expandir em 443,6%, entre 1997 e 2019.</w:t>
      </w:r>
    </w:p>
    <w:p w14:paraId="4D90CF99" w14:textId="3D8FDDC5" w:rsidR="001E7476" w:rsidRDefault="001E7476" w:rsidP="001E7476">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 xml:space="preserve">Na média do período 1997-2019, as exportações do agronegócio brasileiro alcançaram valor anual de R$ 237,81 bilhões, enquanto as importações atingiam R$ 39,90 bilhões, com </w:t>
      </w:r>
      <w:r w:rsidRPr="00B16FAF">
        <w:rPr>
          <w:bCs/>
          <w:color w:val="000000" w:themeColor="text1"/>
          <w:szCs w:val="24"/>
          <w:shd w:val="clear" w:color="auto" w:fill="FFFFFF"/>
        </w:rPr>
        <w:t>saldo médio anual de R$ 197,91 bilhões (BRASIL, 2021). Na Tabela 1, observa-se que 18</w:t>
      </w:r>
      <w:r w:rsidRPr="006A51CE">
        <w:rPr>
          <w:bCs/>
          <w:color w:val="000000" w:themeColor="text1"/>
          <w:szCs w:val="24"/>
          <w:shd w:val="clear" w:color="auto" w:fill="FFFFFF"/>
        </w:rPr>
        <w:t xml:space="preserve"> cadeias ou agrupamentos apresentaram saldo positivo, somando R$ 210</w:t>
      </w:r>
      <w:r>
        <w:rPr>
          <w:bCs/>
          <w:color w:val="000000" w:themeColor="text1"/>
          <w:szCs w:val="24"/>
          <w:shd w:val="clear" w:color="auto" w:fill="FFFFFF"/>
        </w:rPr>
        <w:t>,</w:t>
      </w:r>
      <w:r w:rsidRPr="006A51CE">
        <w:rPr>
          <w:bCs/>
          <w:color w:val="000000" w:themeColor="text1"/>
          <w:szCs w:val="24"/>
          <w:shd w:val="clear" w:color="auto" w:fill="FFFFFF"/>
        </w:rPr>
        <w:t>0</w:t>
      </w:r>
      <w:r>
        <w:rPr>
          <w:bCs/>
          <w:color w:val="000000" w:themeColor="text1"/>
          <w:szCs w:val="24"/>
          <w:shd w:val="clear" w:color="auto" w:fill="FFFFFF"/>
        </w:rPr>
        <w:t>1</w:t>
      </w:r>
      <w:r w:rsidRPr="006A51CE">
        <w:rPr>
          <w:bCs/>
          <w:color w:val="000000" w:themeColor="text1"/>
          <w:szCs w:val="24"/>
          <w:shd w:val="clear" w:color="auto" w:fill="FFFFFF"/>
        </w:rPr>
        <w:t xml:space="preserve"> </w:t>
      </w:r>
      <w:r>
        <w:rPr>
          <w:bCs/>
          <w:color w:val="000000" w:themeColor="text1"/>
          <w:szCs w:val="24"/>
          <w:shd w:val="clear" w:color="auto" w:fill="FFFFFF"/>
        </w:rPr>
        <w:t>b</w:t>
      </w:r>
      <w:r w:rsidRPr="006A51CE">
        <w:rPr>
          <w:bCs/>
          <w:color w:val="000000" w:themeColor="text1"/>
          <w:szCs w:val="24"/>
          <w:shd w:val="clear" w:color="auto" w:fill="FFFFFF"/>
        </w:rPr>
        <w:t>ilhões e valor médio por cadeia de R$ 11</w:t>
      </w:r>
      <w:r>
        <w:rPr>
          <w:bCs/>
          <w:color w:val="000000" w:themeColor="text1"/>
          <w:szCs w:val="24"/>
          <w:shd w:val="clear" w:color="auto" w:fill="FFFFFF"/>
        </w:rPr>
        <w:t>,</w:t>
      </w:r>
      <w:r w:rsidRPr="006A51CE">
        <w:rPr>
          <w:bCs/>
          <w:color w:val="000000" w:themeColor="text1"/>
          <w:szCs w:val="24"/>
          <w:shd w:val="clear" w:color="auto" w:fill="FFFFFF"/>
        </w:rPr>
        <w:t xml:space="preserve">67 </w:t>
      </w:r>
      <w:r>
        <w:rPr>
          <w:bCs/>
          <w:color w:val="000000" w:themeColor="text1"/>
          <w:szCs w:val="24"/>
          <w:shd w:val="clear" w:color="auto" w:fill="FFFFFF"/>
        </w:rPr>
        <w:t>b</w:t>
      </w:r>
      <w:r w:rsidRPr="006A51CE">
        <w:rPr>
          <w:bCs/>
          <w:color w:val="000000" w:themeColor="text1"/>
          <w:szCs w:val="24"/>
          <w:shd w:val="clear" w:color="auto" w:fill="FFFFFF"/>
        </w:rPr>
        <w:t>ilhões. Outras oito apresentaram valor negativo, somando R$ 12</w:t>
      </w:r>
      <w:r>
        <w:rPr>
          <w:bCs/>
          <w:color w:val="000000" w:themeColor="text1"/>
          <w:szCs w:val="24"/>
          <w:shd w:val="clear" w:color="auto" w:fill="FFFFFF"/>
        </w:rPr>
        <w:t>,09</w:t>
      </w:r>
      <w:r w:rsidRPr="006A51CE">
        <w:rPr>
          <w:bCs/>
          <w:color w:val="000000" w:themeColor="text1"/>
          <w:szCs w:val="24"/>
          <w:shd w:val="clear" w:color="auto" w:fill="FFFFFF"/>
        </w:rPr>
        <w:t xml:space="preserve"> </w:t>
      </w:r>
      <w:r>
        <w:rPr>
          <w:bCs/>
          <w:color w:val="000000" w:themeColor="text1"/>
          <w:szCs w:val="24"/>
          <w:shd w:val="clear" w:color="auto" w:fill="FFFFFF"/>
        </w:rPr>
        <w:t>b</w:t>
      </w:r>
      <w:r w:rsidRPr="006A51CE">
        <w:rPr>
          <w:bCs/>
          <w:color w:val="000000" w:themeColor="text1"/>
          <w:szCs w:val="24"/>
          <w:shd w:val="clear" w:color="auto" w:fill="FFFFFF"/>
        </w:rPr>
        <w:t>ilhões e valor médio de R$ 1</w:t>
      </w:r>
      <w:r>
        <w:rPr>
          <w:bCs/>
          <w:color w:val="000000" w:themeColor="text1"/>
          <w:szCs w:val="24"/>
          <w:shd w:val="clear" w:color="auto" w:fill="FFFFFF"/>
        </w:rPr>
        <w:t>,</w:t>
      </w:r>
      <w:r w:rsidRPr="006A51CE">
        <w:rPr>
          <w:bCs/>
          <w:color w:val="000000" w:themeColor="text1"/>
          <w:szCs w:val="24"/>
          <w:shd w:val="clear" w:color="auto" w:fill="FFFFFF"/>
        </w:rPr>
        <w:t xml:space="preserve">51 </w:t>
      </w:r>
      <w:r>
        <w:rPr>
          <w:bCs/>
          <w:color w:val="000000" w:themeColor="text1"/>
          <w:szCs w:val="24"/>
          <w:shd w:val="clear" w:color="auto" w:fill="FFFFFF"/>
        </w:rPr>
        <w:t>bilhão</w:t>
      </w:r>
      <w:r w:rsidRPr="006A51CE">
        <w:rPr>
          <w:bCs/>
          <w:color w:val="000000" w:themeColor="text1"/>
          <w:szCs w:val="24"/>
          <w:shd w:val="clear" w:color="auto" w:fill="FFFFFF"/>
        </w:rPr>
        <w:t>. Em síntese, os valores da importação são bem menos expressivos que</w:t>
      </w:r>
      <w:r w:rsidR="00DF3E9E">
        <w:rPr>
          <w:bCs/>
          <w:color w:val="000000" w:themeColor="text1"/>
          <w:szCs w:val="24"/>
          <w:shd w:val="clear" w:color="auto" w:fill="FFFFFF"/>
        </w:rPr>
        <w:t xml:space="preserve"> os</w:t>
      </w:r>
      <w:r w:rsidRPr="006A51CE">
        <w:rPr>
          <w:bCs/>
          <w:color w:val="000000" w:themeColor="text1"/>
          <w:szCs w:val="24"/>
          <w:shd w:val="clear" w:color="auto" w:fill="FFFFFF"/>
        </w:rPr>
        <w:t xml:space="preserve"> da exportação. Pode-se dizer também que a competitividade internacional do agronegócio brasileiro é sistêmica ou ampla, posto que não baseada em um ou poucos produtos.</w:t>
      </w:r>
    </w:p>
    <w:p w14:paraId="533BAE2D" w14:textId="32980C79" w:rsidR="00132487" w:rsidRDefault="00132487" w:rsidP="001E7476">
      <w:pPr>
        <w:pStyle w:val="NormalWeb"/>
        <w:shd w:val="clear" w:color="auto" w:fill="FFFFFF"/>
        <w:spacing w:before="0" w:after="0"/>
        <w:ind w:firstLine="708"/>
        <w:jc w:val="both"/>
        <w:textAlignment w:val="baseline"/>
        <w:rPr>
          <w:bCs/>
          <w:color w:val="000000" w:themeColor="text1"/>
          <w:szCs w:val="24"/>
          <w:shd w:val="clear" w:color="auto" w:fill="FFFFFF"/>
        </w:rPr>
      </w:pPr>
      <w:r>
        <w:rPr>
          <w:bCs/>
          <w:color w:val="000000" w:themeColor="text1"/>
          <w:szCs w:val="24"/>
          <w:shd w:val="clear" w:color="auto" w:fill="FFFFFF"/>
        </w:rPr>
        <w:t xml:space="preserve">Quanto à desnutrição no Brasil, a evolução de seus </w:t>
      </w:r>
      <w:r w:rsidRPr="006A51CE">
        <w:rPr>
          <w:bCs/>
          <w:color w:val="000000" w:themeColor="text1"/>
          <w:szCs w:val="24"/>
          <w:shd w:val="clear" w:color="auto" w:fill="FFFFFF"/>
        </w:rPr>
        <w:t>indicadores guarda semelhança com o verificado no mundo todo. Em diversas pesquisas, o</w:t>
      </w:r>
      <w:r>
        <w:rPr>
          <w:bCs/>
          <w:color w:val="000000" w:themeColor="text1"/>
          <w:szCs w:val="24"/>
          <w:shd w:val="clear" w:color="auto" w:fill="FFFFFF"/>
        </w:rPr>
        <w:t xml:space="preserve"> IBGE</w:t>
      </w:r>
      <w:r w:rsidRPr="006A51CE">
        <w:rPr>
          <w:bCs/>
          <w:color w:val="000000" w:themeColor="text1"/>
          <w:szCs w:val="24"/>
          <w:shd w:val="clear" w:color="auto" w:fill="FFFFFF"/>
        </w:rPr>
        <w:t xml:space="preserve"> </w:t>
      </w:r>
      <w:r>
        <w:rPr>
          <w:bCs/>
          <w:color w:val="000000" w:themeColor="text1"/>
          <w:szCs w:val="24"/>
          <w:shd w:val="clear" w:color="auto" w:fill="FFFFFF"/>
        </w:rPr>
        <w:t>(</w:t>
      </w:r>
      <w:r w:rsidRPr="006A51CE">
        <w:rPr>
          <w:bCs/>
          <w:color w:val="000000" w:themeColor="text1"/>
          <w:szCs w:val="24"/>
          <w:shd w:val="clear" w:color="auto" w:fill="FFFFFF"/>
        </w:rPr>
        <w:t xml:space="preserve">Instituto Brasileiro de Geografia e Estatística) mediu o nível de segurança alimentar da população brasileira, aplicando a </w:t>
      </w:r>
      <w:bookmarkStart w:id="3" w:name="_Hlk111529411"/>
      <w:r w:rsidRPr="006A51CE">
        <w:t>Escala Brasileira de Segurança Alimentar (EBIA)</w:t>
      </w:r>
      <w:bookmarkEnd w:id="3"/>
      <w:r w:rsidRPr="006A51CE">
        <w:t xml:space="preserve">. Em 2004, 64,8% dos consultados declararam estar </w:t>
      </w:r>
      <w:r w:rsidRPr="006A51CE">
        <w:lastRenderedPageBreak/>
        <w:t xml:space="preserve">em situação de segurança alimentar (SA), contra 35,2% que apresentavam insegurança alimentar leve, moderada ou grave. Em 2009, o valor da SA alcançou 69,6% e continuou se elevando até 77,1%, em 2013. Contudo, a pesquisa de 2018, em momento de crise econômica, apontou aumento da insegurança alimentar, com a SA reduzindo-se para o nível de 63,3%, </w:t>
      </w:r>
      <w:r w:rsidRPr="00B51083">
        <w:t>abaixo do valor de 2004 (IBGE, 2006; IBGE, 2009; IBGE, 2015; IBGE, 2020</w:t>
      </w:r>
      <w:r>
        <w:t>a</w:t>
      </w:r>
      <w:r w:rsidRPr="00B51083">
        <w:t>).</w:t>
      </w:r>
    </w:p>
    <w:p w14:paraId="0A452F37" w14:textId="77777777" w:rsidR="00B90028" w:rsidRPr="00B90028" w:rsidRDefault="00B90028" w:rsidP="00B90028">
      <w:pPr>
        <w:spacing w:after="100" w:line="240" w:lineRule="auto"/>
        <w:jc w:val="both"/>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
          <w:color w:val="000000" w:themeColor="text1"/>
          <w:sz w:val="24"/>
          <w:szCs w:val="24"/>
          <w:shd w:val="clear" w:color="auto" w:fill="FFFFFF"/>
        </w:rPr>
        <w:t>Figura 2</w:t>
      </w:r>
      <w:r w:rsidRPr="00B90028">
        <w:rPr>
          <w:rFonts w:ascii="Times New Roman" w:eastAsia="Times New Roman" w:hAnsi="Times New Roman" w:cs="Times New Roman"/>
          <w:bCs/>
          <w:color w:val="000000" w:themeColor="text1"/>
          <w:sz w:val="24"/>
          <w:szCs w:val="24"/>
          <w:shd w:val="clear" w:color="auto" w:fill="FFFFFF"/>
        </w:rPr>
        <w:t>. Índice de crescimento do valor da exportação, importação e saldo comercial do agronegócio brasileiro, 1997 a 2019.</w:t>
      </w:r>
    </w:p>
    <w:p w14:paraId="1B31117F" w14:textId="33718FC8" w:rsidR="00B90028" w:rsidRPr="006A51CE" w:rsidRDefault="00B15EDC" w:rsidP="00B15EDC">
      <w:pPr>
        <w:spacing w:after="0" w:line="360" w:lineRule="auto"/>
        <w:jc w:val="center"/>
        <w:rPr>
          <w:bCs/>
          <w:color w:val="000000" w:themeColor="text1"/>
          <w:sz w:val="24"/>
          <w:szCs w:val="24"/>
          <w:shd w:val="clear" w:color="auto" w:fill="FFFFFF"/>
        </w:rPr>
      </w:pPr>
      <w:r>
        <w:rPr>
          <w:bCs/>
          <w:noProof/>
          <w:color w:val="000000" w:themeColor="text1"/>
          <w:sz w:val="24"/>
          <w:szCs w:val="24"/>
          <w:shd w:val="clear" w:color="auto" w:fill="FFFFFF"/>
        </w:rPr>
        <w:drawing>
          <wp:inline distT="0" distB="0" distL="0" distR="0" wp14:anchorId="68391875" wp14:editId="0CEF0095">
            <wp:extent cx="5746750" cy="2438449"/>
            <wp:effectExtent l="0" t="0" r="635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1291" cy="2444619"/>
                    </a:xfrm>
                    <a:prstGeom prst="rect">
                      <a:avLst/>
                    </a:prstGeom>
                    <a:noFill/>
                  </pic:spPr>
                </pic:pic>
              </a:graphicData>
            </a:graphic>
          </wp:inline>
        </w:drawing>
      </w:r>
    </w:p>
    <w:p w14:paraId="4478F7AC" w14:textId="5A5EE52D" w:rsidR="00B90028" w:rsidRPr="004940D1" w:rsidRDefault="00B90028" w:rsidP="001E7476">
      <w:pPr>
        <w:spacing w:after="0" w:line="240" w:lineRule="auto"/>
        <w:jc w:val="both"/>
        <w:rPr>
          <w:rFonts w:ascii="Times New Roman" w:eastAsia="Times New Roman" w:hAnsi="Times New Roman" w:cs="Times New Roman"/>
          <w:bCs/>
          <w:color w:val="000000" w:themeColor="text1"/>
          <w:sz w:val="24"/>
          <w:szCs w:val="24"/>
          <w:shd w:val="clear" w:color="auto" w:fill="FFFFFF"/>
        </w:rPr>
      </w:pPr>
      <w:r w:rsidRPr="009A015D">
        <w:rPr>
          <w:rFonts w:ascii="Times New Roman" w:eastAsia="Times New Roman" w:hAnsi="Times New Roman" w:cs="Times New Roman"/>
          <w:b/>
          <w:color w:val="000000" w:themeColor="text1"/>
          <w:sz w:val="24"/>
          <w:szCs w:val="24"/>
          <w:shd w:val="clear" w:color="auto" w:fill="FFFFFF"/>
        </w:rPr>
        <w:t>Fonte</w:t>
      </w:r>
      <w:r w:rsidRPr="004940D1">
        <w:rPr>
          <w:rFonts w:ascii="Times New Roman" w:eastAsia="Times New Roman" w:hAnsi="Times New Roman" w:cs="Times New Roman"/>
          <w:bCs/>
          <w:color w:val="000000" w:themeColor="text1"/>
          <w:sz w:val="24"/>
          <w:szCs w:val="24"/>
          <w:shd w:val="clear" w:color="auto" w:fill="FFFFFF"/>
        </w:rPr>
        <w:t xml:space="preserve">: </w:t>
      </w:r>
      <w:r w:rsidR="00B16FAF" w:rsidRPr="004940D1">
        <w:rPr>
          <w:rFonts w:ascii="Times New Roman" w:eastAsia="Times New Roman" w:hAnsi="Times New Roman" w:cs="Times New Roman"/>
          <w:bCs/>
          <w:color w:val="000000" w:themeColor="text1"/>
          <w:sz w:val="24"/>
          <w:szCs w:val="24"/>
          <w:shd w:val="clear" w:color="auto" w:fill="FFFFFF"/>
        </w:rPr>
        <w:t xml:space="preserve">Brasil </w:t>
      </w:r>
      <w:r w:rsidRPr="004940D1">
        <w:rPr>
          <w:rFonts w:ascii="Times New Roman" w:eastAsia="Times New Roman" w:hAnsi="Times New Roman" w:cs="Times New Roman"/>
          <w:bCs/>
          <w:color w:val="000000" w:themeColor="text1"/>
          <w:sz w:val="24"/>
          <w:szCs w:val="24"/>
          <w:shd w:val="clear" w:color="auto" w:fill="FFFFFF"/>
        </w:rPr>
        <w:t>(</w:t>
      </w:r>
      <w:r w:rsidRPr="00B16FAF">
        <w:rPr>
          <w:rFonts w:ascii="Times New Roman" w:eastAsia="Times New Roman" w:hAnsi="Times New Roman" w:cs="Times New Roman"/>
          <w:bCs/>
          <w:color w:val="000000" w:themeColor="text1"/>
          <w:sz w:val="24"/>
          <w:szCs w:val="24"/>
          <w:shd w:val="clear" w:color="auto" w:fill="FFFFFF"/>
        </w:rPr>
        <w:t>2021).</w:t>
      </w:r>
    </w:p>
    <w:p w14:paraId="6FC266B6" w14:textId="77777777" w:rsidR="004940D1" w:rsidRPr="004940D1" w:rsidRDefault="004940D1" w:rsidP="001E7476">
      <w:pPr>
        <w:spacing w:after="0" w:line="240" w:lineRule="auto"/>
        <w:jc w:val="both"/>
        <w:rPr>
          <w:rFonts w:ascii="Times New Roman" w:eastAsia="Times New Roman" w:hAnsi="Times New Roman" w:cs="Times New Roman"/>
          <w:bCs/>
          <w:color w:val="000000" w:themeColor="text1"/>
          <w:sz w:val="24"/>
          <w:szCs w:val="24"/>
          <w:shd w:val="clear" w:color="auto" w:fill="FFFFFF"/>
        </w:rPr>
      </w:pPr>
      <w:r w:rsidRPr="001E7476">
        <w:rPr>
          <w:rFonts w:ascii="Times New Roman" w:eastAsia="Times New Roman" w:hAnsi="Times New Roman" w:cs="Times New Roman"/>
          <w:b/>
          <w:color w:val="000000" w:themeColor="text1"/>
          <w:sz w:val="24"/>
          <w:szCs w:val="24"/>
          <w:shd w:val="clear" w:color="auto" w:fill="FFFFFF"/>
        </w:rPr>
        <w:t>Tabela 1</w:t>
      </w:r>
      <w:r w:rsidRPr="004940D1">
        <w:rPr>
          <w:rFonts w:ascii="Times New Roman" w:eastAsia="Times New Roman" w:hAnsi="Times New Roman" w:cs="Times New Roman"/>
          <w:bCs/>
          <w:color w:val="000000" w:themeColor="text1"/>
          <w:sz w:val="24"/>
          <w:szCs w:val="24"/>
          <w:shd w:val="clear" w:color="auto" w:fill="FFFFFF"/>
        </w:rPr>
        <w:t>. Saldo comercial de cadeias e agrupamentos do agronegócio, em milhões de reais corrigidos, em ordem decrescente de saldo, Brasil, média de 1997 a 2019.</w:t>
      </w:r>
    </w:p>
    <w:tbl>
      <w:tblPr>
        <w:tblW w:w="9013" w:type="dxa"/>
        <w:tblInd w:w="55" w:type="dxa"/>
        <w:tblLayout w:type="fixed"/>
        <w:tblCellMar>
          <w:left w:w="70" w:type="dxa"/>
          <w:right w:w="70" w:type="dxa"/>
        </w:tblCellMar>
        <w:tblLook w:val="04A0" w:firstRow="1" w:lastRow="0" w:firstColumn="1" w:lastColumn="0" w:noHBand="0" w:noVBand="1"/>
      </w:tblPr>
      <w:tblGrid>
        <w:gridCol w:w="3515"/>
        <w:gridCol w:w="1020"/>
        <w:gridCol w:w="3458"/>
        <w:gridCol w:w="1020"/>
      </w:tblGrid>
      <w:tr w:rsidR="004940D1" w:rsidRPr="004940D1" w14:paraId="3815CF1B" w14:textId="77777777" w:rsidTr="001E7476">
        <w:trPr>
          <w:trHeight w:val="315"/>
        </w:trPr>
        <w:tc>
          <w:tcPr>
            <w:tcW w:w="3515" w:type="dxa"/>
            <w:tcBorders>
              <w:top w:val="single" w:sz="4" w:space="0" w:color="auto"/>
              <w:bottom w:val="single" w:sz="4" w:space="0" w:color="auto"/>
            </w:tcBorders>
            <w:shd w:val="clear" w:color="auto" w:fill="auto"/>
            <w:noWrap/>
            <w:vAlign w:val="center"/>
            <w:hideMark/>
          </w:tcPr>
          <w:p w14:paraId="0FEB3D2C"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Cadeia/Agrupamento</w:t>
            </w:r>
          </w:p>
        </w:tc>
        <w:tc>
          <w:tcPr>
            <w:tcW w:w="1020" w:type="dxa"/>
            <w:tcBorders>
              <w:top w:val="single" w:sz="4" w:space="0" w:color="auto"/>
              <w:bottom w:val="single" w:sz="4" w:space="0" w:color="auto"/>
              <w:right w:val="single" w:sz="4" w:space="0" w:color="auto"/>
            </w:tcBorders>
            <w:shd w:val="clear" w:color="auto" w:fill="auto"/>
            <w:noWrap/>
            <w:vAlign w:val="center"/>
          </w:tcPr>
          <w:p w14:paraId="4E966792"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Saldo</w:t>
            </w:r>
          </w:p>
        </w:tc>
        <w:tc>
          <w:tcPr>
            <w:tcW w:w="3458" w:type="dxa"/>
            <w:tcBorders>
              <w:top w:val="single" w:sz="4" w:space="0" w:color="auto"/>
              <w:left w:val="single" w:sz="4" w:space="0" w:color="auto"/>
              <w:bottom w:val="single" w:sz="4" w:space="0" w:color="auto"/>
            </w:tcBorders>
            <w:shd w:val="clear" w:color="auto" w:fill="auto"/>
            <w:noWrap/>
            <w:vAlign w:val="center"/>
          </w:tcPr>
          <w:p w14:paraId="7B103AC8"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Cadeia/Agrupamento</w:t>
            </w:r>
          </w:p>
        </w:tc>
        <w:tc>
          <w:tcPr>
            <w:tcW w:w="1020" w:type="dxa"/>
            <w:tcBorders>
              <w:top w:val="single" w:sz="4" w:space="0" w:color="auto"/>
              <w:bottom w:val="single" w:sz="4" w:space="0" w:color="auto"/>
            </w:tcBorders>
            <w:shd w:val="clear" w:color="auto" w:fill="auto"/>
            <w:noWrap/>
            <w:vAlign w:val="center"/>
            <w:hideMark/>
          </w:tcPr>
          <w:p w14:paraId="38ABF654"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Saldo</w:t>
            </w:r>
          </w:p>
        </w:tc>
      </w:tr>
      <w:tr w:rsidR="004940D1" w:rsidRPr="004940D1" w14:paraId="7DEF7063" w14:textId="77777777" w:rsidTr="001E7476">
        <w:trPr>
          <w:trHeight w:val="315"/>
        </w:trPr>
        <w:tc>
          <w:tcPr>
            <w:tcW w:w="3515" w:type="dxa"/>
            <w:tcBorders>
              <w:top w:val="single" w:sz="4" w:space="0" w:color="auto"/>
            </w:tcBorders>
            <w:shd w:val="clear" w:color="auto" w:fill="auto"/>
            <w:noWrap/>
            <w:vAlign w:val="center"/>
            <w:hideMark/>
          </w:tcPr>
          <w:p w14:paraId="37B70970" w14:textId="77777777" w:rsidR="004940D1" w:rsidRPr="004940D1" w:rsidRDefault="004940D1" w:rsidP="004940D1">
            <w:pPr>
              <w:spacing w:after="0" w:line="240" w:lineRule="auto"/>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Complexo Soja</w:t>
            </w:r>
          </w:p>
        </w:tc>
        <w:tc>
          <w:tcPr>
            <w:tcW w:w="1020" w:type="dxa"/>
            <w:tcBorders>
              <w:top w:val="single" w:sz="4" w:space="0" w:color="auto"/>
              <w:right w:val="single" w:sz="4" w:space="0" w:color="auto"/>
            </w:tcBorders>
            <w:shd w:val="clear" w:color="auto" w:fill="auto"/>
            <w:noWrap/>
            <w:vAlign w:val="center"/>
            <w:hideMark/>
          </w:tcPr>
          <w:p w14:paraId="03F1E43C"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65.470</w:t>
            </w:r>
          </w:p>
        </w:tc>
        <w:tc>
          <w:tcPr>
            <w:tcW w:w="3458" w:type="dxa"/>
            <w:tcBorders>
              <w:top w:val="single" w:sz="4" w:space="0" w:color="auto"/>
              <w:left w:val="single" w:sz="4" w:space="0" w:color="auto"/>
            </w:tcBorders>
            <w:shd w:val="clear" w:color="auto" w:fill="auto"/>
            <w:noWrap/>
            <w:vAlign w:val="center"/>
            <w:hideMark/>
          </w:tcPr>
          <w:p w14:paraId="71CD7D67" w14:textId="77777777" w:rsidR="004940D1" w:rsidRPr="004940D1" w:rsidRDefault="004940D1" w:rsidP="004940D1">
            <w:pPr>
              <w:spacing w:after="0" w:line="240" w:lineRule="auto"/>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Outros Vegetais</w:t>
            </w:r>
          </w:p>
        </w:tc>
        <w:tc>
          <w:tcPr>
            <w:tcW w:w="1020" w:type="dxa"/>
            <w:tcBorders>
              <w:top w:val="single" w:sz="4" w:space="0" w:color="auto"/>
            </w:tcBorders>
            <w:shd w:val="clear" w:color="auto" w:fill="auto"/>
            <w:noWrap/>
            <w:vAlign w:val="center"/>
            <w:hideMark/>
          </w:tcPr>
          <w:p w14:paraId="7350CDAE"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663</w:t>
            </w:r>
          </w:p>
        </w:tc>
      </w:tr>
      <w:tr w:rsidR="004940D1" w:rsidRPr="004940D1" w14:paraId="7DD233B2" w14:textId="77777777" w:rsidTr="001E7476">
        <w:trPr>
          <w:trHeight w:val="315"/>
        </w:trPr>
        <w:tc>
          <w:tcPr>
            <w:tcW w:w="3515" w:type="dxa"/>
            <w:shd w:val="clear" w:color="auto" w:fill="auto"/>
            <w:noWrap/>
            <w:vAlign w:val="center"/>
            <w:hideMark/>
          </w:tcPr>
          <w:p w14:paraId="65B7809F" w14:textId="77777777" w:rsidR="004940D1" w:rsidRPr="004940D1" w:rsidRDefault="004940D1" w:rsidP="004940D1">
            <w:pPr>
              <w:spacing w:after="0" w:line="240" w:lineRule="auto"/>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Complexo Sucroalcooleiro</w:t>
            </w:r>
          </w:p>
        </w:tc>
        <w:tc>
          <w:tcPr>
            <w:tcW w:w="1020" w:type="dxa"/>
            <w:tcBorders>
              <w:right w:val="single" w:sz="4" w:space="0" w:color="auto"/>
            </w:tcBorders>
            <w:shd w:val="clear" w:color="auto" w:fill="auto"/>
            <w:noWrap/>
            <w:vAlign w:val="center"/>
            <w:hideMark/>
          </w:tcPr>
          <w:p w14:paraId="4BCE3AF0"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26.068</w:t>
            </w:r>
          </w:p>
        </w:tc>
        <w:tc>
          <w:tcPr>
            <w:tcW w:w="3458" w:type="dxa"/>
            <w:tcBorders>
              <w:left w:val="single" w:sz="4" w:space="0" w:color="auto"/>
            </w:tcBorders>
            <w:shd w:val="clear" w:color="auto" w:fill="auto"/>
            <w:noWrap/>
            <w:vAlign w:val="center"/>
            <w:hideMark/>
          </w:tcPr>
          <w:p w14:paraId="41B7E799" w14:textId="77777777" w:rsidR="004940D1" w:rsidRPr="004940D1" w:rsidRDefault="004940D1" w:rsidP="004940D1">
            <w:pPr>
              <w:spacing w:after="0" w:line="240" w:lineRule="auto"/>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Cacau e Produtos</w:t>
            </w:r>
          </w:p>
        </w:tc>
        <w:tc>
          <w:tcPr>
            <w:tcW w:w="1020" w:type="dxa"/>
            <w:shd w:val="clear" w:color="auto" w:fill="auto"/>
            <w:noWrap/>
            <w:vAlign w:val="center"/>
            <w:hideMark/>
          </w:tcPr>
          <w:p w14:paraId="473CAD53"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487</w:t>
            </w:r>
          </w:p>
        </w:tc>
      </w:tr>
      <w:tr w:rsidR="004940D1" w:rsidRPr="004940D1" w14:paraId="059D7A7F" w14:textId="77777777" w:rsidTr="001E7476">
        <w:trPr>
          <w:trHeight w:val="315"/>
        </w:trPr>
        <w:tc>
          <w:tcPr>
            <w:tcW w:w="3515" w:type="dxa"/>
            <w:shd w:val="clear" w:color="auto" w:fill="auto"/>
            <w:noWrap/>
            <w:vAlign w:val="center"/>
            <w:hideMark/>
          </w:tcPr>
          <w:p w14:paraId="04163F1C" w14:textId="77777777" w:rsidR="004940D1" w:rsidRPr="004940D1" w:rsidRDefault="004940D1" w:rsidP="004940D1">
            <w:pPr>
              <w:spacing w:after="0" w:line="240" w:lineRule="auto"/>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Produtos Florestais</w:t>
            </w:r>
          </w:p>
        </w:tc>
        <w:tc>
          <w:tcPr>
            <w:tcW w:w="1020" w:type="dxa"/>
            <w:tcBorders>
              <w:right w:val="single" w:sz="4" w:space="0" w:color="auto"/>
            </w:tcBorders>
            <w:shd w:val="clear" w:color="auto" w:fill="auto"/>
            <w:noWrap/>
            <w:vAlign w:val="center"/>
            <w:hideMark/>
          </w:tcPr>
          <w:p w14:paraId="647FC9FF"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25.751</w:t>
            </w:r>
          </w:p>
        </w:tc>
        <w:tc>
          <w:tcPr>
            <w:tcW w:w="3458" w:type="dxa"/>
            <w:tcBorders>
              <w:left w:val="single" w:sz="4" w:space="0" w:color="auto"/>
            </w:tcBorders>
            <w:shd w:val="clear" w:color="auto" w:fill="auto"/>
            <w:noWrap/>
            <w:vAlign w:val="center"/>
            <w:hideMark/>
          </w:tcPr>
          <w:p w14:paraId="157517A7" w14:textId="77777777" w:rsidR="004940D1" w:rsidRPr="004940D1" w:rsidRDefault="004940D1" w:rsidP="004940D1">
            <w:pPr>
              <w:spacing w:after="0" w:line="240" w:lineRule="auto"/>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Avicultura de Postura</w:t>
            </w:r>
          </w:p>
        </w:tc>
        <w:tc>
          <w:tcPr>
            <w:tcW w:w="1020" w:type="dxa"/>
            <w:shd w:val="clear" w:color="auto" w:fill="auto"/>
            <w:noWrap/>
            <w:vAlign w:val="center"/>
            <w:hideMark/>
          </w:tcPr>
          <w:p w14:paraId="4819173E"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130</w:t>
            </w:r>
          </w:p>
        </w:tc>
      </w:tr>
      <w:tr w:rsidR="004940D1" w:rsidRPr="004940D1" w14:paraId="05F22D56" w14:textId="77777777" w:rsidTr="001E7476">
        <w:trPr>
          <w:trHeight w:val="315"/>
        </w:trPr>
        <w:tc>
          <w:tcPr>
            <w:tcW w:w="3515" w:type="dxa"/>
            <w:shd w:val="clear" w:color="auto" w:fill="auto"/>
            <w:noWrap/>
            <w:vAlign w:val="center"/>
            <w:hideMark/>
          </w:tcPr>
          <w:p w14:paraId="05710CDE" w14:textId="77777777" w:rsidR="004940D1" w:rsidRPr="004940D1" w:rsidRDefault="004940D1" w:rsidP="004940D1">
            <w:pPr>
              <w:spacing w:after="0" w:line="240" w:lineRule="auto"/>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Bovinocultura de Corte</w:t>
            </w:r>
          </w:p>
        </w:tc>
        <w:tc>
          <w:tcPr>
            <w:tcW w:w="1020" w:type="dxa"/>
            <w:tcBorders>
              <w:right w:val="single" w:sz="4" w:space="0" w:color="auto"/>
            </w:tcBorders>
            <w:shd w:val="clear" w:color="auto" w:fill="auto"/>
            <w:noWrap/>
            <w:vAlign w:val="center"/>
            <w:hideMark/>
          </w:tcPr>
          <w:p w14:paraId="5D075300"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25.683</w:t>
            </w:r>
          </w:p>
        </w:tc>
        <w:tc>
          <w:tcPr>
            <w:tcW w:w="3458" w:type="dxa"/>
            <w:tcBorders>
              <w:left w:val="single" w:sz="4" w:space="0" w:color="auto"/>
              <w:bottom w:val="single" w:sz="4" w:space="0" w:color="auto"/>
            </w:tcBorders>
            <w:shd w:val="clear" w:color="auto" w:fill="auto"/>
            <w:noWrap/>
            <w:vAlign w:val="center"/>
            <w:hideMark/>
          </w:tcPr>
          <w:p w14:paraId="7D08033C" w14:textId="77777777" w:rsidR="004940D1" w:rsidRPr="004940D1" w:rsidRDefault="004940D1" w:rsidP="004940D1">
            <w:pPr>
              <w:spacing w:after="0" w:line="240" w:lineRule="auto"/>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Frutas, exceto Citros</w:t>
            </w:r>
          </w:p>
        </w:tc>
        <w:tc>
          <w:tcPr>
            <w:tcW w:w="1020" w:type="dxa"/>
            <w:tcBorders>
              <w:bottom w:val="single" w:sz="4" w:space="0" w:color="auto"/>
            </w:tcBorders>
            <w:shd w:val="clear" w:color="auto" w:fill="auto"/>
            <w:noWrap/>
            <w:vAlign w:val="center"/>
            <w:hideMark/>
          </w:tcPr>
          <w:p w14:paraId="377105A4"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114</w:t>
            </w:r>
          </w:p>
        </w:tc>
      </w:tr>
      <w:tr w:rsidR="004940D1" w:rsidRPr="004940D1" w14:paraId="611CBB65" w14:textId="77777777" w:rsidTr="001E7476">
        <w:trPr>
          <w:trHeight w:val="315"/>
        </w:trPr>
        <w:tc>
          <w:tcPr>
            <w:tcW w:w="3515" w:type="dxa"/>
            <w:shd w:val="clear" w:color="auto" w:fill="auto"/>
            <w:noWrap/>
            <w:vAlign w:val="center"/>
            <w:hideMark/>
          </w:tcPr>
          <w:p w14:paraId="36C1FE08" w14:textId="77777777" w:rsidR="004940D1" w:rsidRPr="004940D1" w:rsidRDefault="004940D1" w:rsidP="004940D1">
            <w:pPr>
              <w:spacing w:after="0" w:line="240" w:lineRule="auto"/>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Avicultura de Corte</w:t>
            </w:r>
          </w:p>
        </w:tc>
        <w:tc>
          <w:tcPr>
            <w:tcW w:w="1020" w:type="dxa"/>
            <w:tcBorders>
              <w:right w:val="single" w:sz="4" w:space="0" w:color="auto"/>
            </w:tcBorders>
            <w:shd w:val="clear" w:color="auto" w:fill="auto"/>
            <w:noWrap/>
            <w:vAlign w:val="center"/>
            <w:hideMark/>
          </w:tcPr>
          <w:p w14:paraId="4B3B3ED0"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16.641</w:t>
            </w:r>
          </w:p>
        </w:tc>
        <w:tc>
          <w:tcPr>
            <w:tcW w:w="3458" w:type="dxa"/>
            <w:tcBorders>
              <w:top w:val="single" w:sz="4" w:space="0" w:color="auto"/>
              <w:left w:val="single" w:sz="4" w:space="0" w:color="auto"/>
              <w:bottom w:val="single" w:sz="4" w:space="0" w:color="auto"/>
            </w:tcBorders>
            <w:shd w:val="clear" w:color="auto" w:fill="auto"/>
            <w:noWrap/>
            <w:vAlign w:val="center"/>
          </w:tcPr>
          <w:p w14:paraId="3AE59D76" w14:textId="77777777" w:rsidR="004940D1" w:rsidRPr="004940D1" w:rsidRDefault="004940D1" w:rsidP="004940D1">
            <w:pPr>
              <w:spacing w:after="0" w:line="240" w:lineRule="auto"/>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Sub Total</w:t>
            </w:r>
          </w:p>
        </w:tc>
        <w:tc>
          <w:tcPr>
            <w:tcW w:w="1020" w:type="dxa"/>
            <w:tcBorders>
              <w:top w:val="single" w:sz="4" w:space="0" w:color="auto"/>
              <w:bottom w:val="single" w:sz="4" w:space="0" w:color="auto"/>
            </w:tcBorders>
            <w:shd w:val="clear" w:color="auto" w:fill="auto"/>
            <w:noWrap/>
            <w:vAlign w:val="center"/>
          </w:tcPr>
          <w:p w14:paraId="15D680ED"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210.006</w:t>
            </w:r>
          </w:p>
        </w:tc>
      </w:tr>
      <w:tr w:rsidR="004940D1" w:rsidRPr="004940D1" w14:paraId="610B3052" w14:textId="77777777" w:rsidTr="001E7476">
        <w:trPr>
          <w:trHeight w:val="315"/>
        </w:trPr>
        <w:tc>
          <w:tcPr>
            <w:tcW w:w="3515" w:type="dxa"/>
            <w:shd w:val="clear" w:color="auto" w:fill="auto"/>
            <w:noWrap/>
            <w:vAlign w:val="center"/>
            <w:hideMark/>
          </w:tcPr>
          <w:p w14:paraId="264DED7B" w14:textId="77777777" w:rsidR="004940D1" w:rsidRPr="004940D1" w:rsidRDefault="004940D1" w:rsidP="004940D1">
            <w:pPr>
              <w:spacing w:after="0" w:line="240" w:lineRule="auto"/>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Café</w:t>
            </w:r>
          </w:p>
        </w:tc>
        <w:tc>
          <w:tcPr>
            <w:tcW w:w="1020" w:type="dxa"/>
            <w:tcBorders>
              <w:right w:val="single" w:sz="4" w:space="0" w:color="auto"/>
            </w:tcBorders>
            <w:shd w:val="clear" w:color="auto" w:fill="auto"/>
            <w:noWrap/>
            <w:vAlign w:val="center"/>
            <w:hideMark/>
          </w:tcPr>
          <w:p w14:paraId="169C4EB8"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15.736</w:t>
            </w:r>
          </w:p>
        </w:tc>
        <w:tc>
          <w:tcPr>
            <w:tcW w:w="3458" w:type="dxa"/>
            <w:tcBorders>
              <w:top w:val="single" w:sz="4" w:space="0" w:color="auto"/>
              <w:left w:val="single" w:sz="4" w:space="0" w:color="auto"/>
            </w:tcBorders>
            <w:shd w:val="clear" w:color="auto" w:fill="auto"/>
            <w:noWrap/>
            <w:vAlign w:val="center"/>
          </w:tcPr>
          <w:p w14:paraId="0584A3D1" w14:textId="77777777" w:rsidR="004940D1" w:rsidRPr="004940D1" w:rsidRDefault="004940D1" w:rsidP="004940D1">
            <w:pPr>
              <w:spacing w:after="0" w:line="240" w:lineRule="auto"/>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Ração Animal</w:t>
            </w:r>
          </w:p>
        </w:tc>
        <w:tc>
          <w:tcPr>
            <w:tcW w:w="1020" w:type="dxa"/>
            <w:tcBorders>
              <w:top w:val="single" w:sz="4" w:space="0" w:color="auto"/>
            </w:tcBorders>
            <w:shd w:val="clear" w:color="auto" w:fill="auto"/>
            <w:noWrap/>
            <w:vAlign w:val="center"/>
          </w:tcPr>
          <w:p w14:paraId="4C8D3A87"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-198</w:t>
            </w:r>
          </w:p>
        </w:tc>
      </w:tr>
      <w:tr w:rsidR="004940D1" w:rsidRPr="004940D1" w14:paraId="57339A2F" w14:textId="77777777" w:rsidTr="001E7476">
        <w:trPr>
          <w:trHeight w:val="315"/>
        </w:trPr>
        <w:tc>
          <w:tcPr>
            <w:tcW w:w="3515" w:type="dxa"/>
            <w:shd w:val="clear" w:color="auto" w:fill="auto"/>
            <w:noWrap/>
            <w:vAlign w:val="center"/>
            <w:hideMark/>
          </w:tcPr>
          <w:p w14:paraId="0549AD7B" w14:textId="77777777" w:rsidR="004940D1" w:rsidRPr="004940D1" w:rsidRDefault="004940D1" w:rsidP="004940D1">
            <w:pPr>
              <w:spacing w:after="0" w:line="240" w:lineRule="auto"/>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Fumo e Derivados</w:t>
            </w:r>
          </w:p>
        </w:tc>
        <w:tc>
          <w:tcPr>
            <w:tcW w:w="1020" w:type="dxa"/>
            <w:tcBorders>
              <w:right w:val="single" w:sz="4" w:space="0" w:color="auto"/>
            </w:tcBorders>
            <w:shd w:val="clear" w:color="auto" w:fill="auto"/>
            <w:noWrap/>
            <w:vAlign w:val="center"/>
            <w:hideMark/>
          </w:tcPr>
          <w:p w14:paraId="76910C8A"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7.723</w:t>
            </w:r>
          </w:p>
        </w:tc>
        <w:tc>
          <w:tcPr>
            <w:tcW w:w="3458" w:type="dxa"/>
            <w:tcBorders>
              <w:left w:val="single" w:sz="4" w:space="0" w:color="auto"/>
            </w:tcBorders>
            <w:shd w:val="clear" w:color="auto" w:fill="auto"/>
            <w:noWrap/>
            <w:vAlign w:val="center"/>
          </w:tcPr>
          <w:p w14:paraId="359B0790" w14:textId="77777777" w:rsidR="004940D1" w:rsidRPr="004940D1" w:rsidRDefault="004940D1" w:rsidP="004940D1">
            <w:pPr>
              <w:spacing w:after="0" w:line="240" w:lineRule="auto"/>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Feijão</w:t>
            </w:r>
          </w:p>
        </w:tc>
        <w:tc>
          <w:tcPr>
            <w:tcW w:w="1020" w:type="dxa"/>
            <w:shd w:val="clear" w:color="auto" w:fill="auto"/>
            <w:noWrap/>
            <w:vAlign w:val="center"/>
          </w:tcPr>
          <w:p w14:paraId="177DFBDA"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-284</w:t>
            </w:r>
          </w:p>
        </w:tc>
      </w:tr>
      <w:tr w:rsidR="004940D1" w:rsidRPr="004940D1" w14:paraId="25BE129E" w14:textId="77777777" w:rsidTr="001E7476">
        <w:trPr>
          <w:trHeight w:val="315"/>
        </w:trPr>
        <w:tc>
          <w:tcPr>
            <w:tcW w:w="3515" w:type="dxa"/>
            <w:shd w:val="clear" w:color="auto" w:fill="auto"/>
            <w:noWrap/>
            <w:vAlign w:val="center"/>
            <w:hideMark/>
          </w:tcPr>
          <w:p w14:paraId="71AEDB8E" w14:textId="77777777" w:rsidR="004940D1" w:rsidRPr="004940D1" w:rsidRDefault="004940D1" w:rsidP="004940D1">
            <w:pPr>
              <w:spacing w:after="0" w:line="240" w:lineRule="auto"/>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Milho</w:t>
            </w:r>
          </w:p>
        </w:tc>
        <w:tc>
          <w:tcPr>
            <w:tcW w:w="1020" w:type="dxa"/>
            <w:tcBorders>
              <w:right w:val="single" w:sz="4" w:space="0" w:color="auto"/>
            </w:tcBorders>
            <w:shd w:val="clear" w:color="auto" w:fill="auto"/>
            <w:noWrap/>
            <w:vAlign w:val="center"/>
            <w:hideMark/>
          </w:tcPr>
          <w:p w14:paraId="5C29D8A9"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7.720</w:t>
            </w:r>
          </w:p>
        </w:tc>
        <w:tc>
          <w:tcPr>
            <w:tcW w:w="3458" w:type="dxa"/>
            <w:tcBorders>
              <w:left w:val="single" w:sz="4" w:space="0" w:color="auto"/>
            </w:tcBorders>
            <w:shd w:val="clear" w:color="auto" w:fill="auto"/>
            <w:noWrap/>
            <w:vAlign w:val="center"/>
          </w:tcPr>
          <w:p w14:paraId="4C69B1D2" w14:textId="77777777" w:rsidR="004940D1" w:rsidRPr="004940D1" w:rsidRDefault="004940D1" w:rsidP="004940D1">
            <w:pPr>
              <w:spacing w:after="0" w:line="240" w:lineRule="auto"/>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Arroz</w:t>
            </w:r>
          </w:p>
        </w:tc>
        <w:tc>
          <w:tcPr>
            <w:tcW w:w="1020" w:type="dxa"/>
            <w:shd w:val="clear" w:color="auto" w:fill="auto"/>
            <w:noWrap/>
            <w:vAlign w:val="center"/>
          </w:tcPr>
          <w:p w14:paraId="0DD7AABF"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-407</w:t>
            </w:r>
          </w:p>
        </w:tc>
      </w:tr>
      <w:tr w:rsidR="004940D1" w:rsidRPr="004940D1" w14:paraId="34E1BA69" w14:textId="77777777" w:rsidTr="001E7476">
        <w:trPr>
          <w:trHeight w:val="315"/>
        </w:trPr>
        <w:tc>
          <w:tcPr>
            <w:tcW w:w="3515" w:type="dxa"/>
            <w:shd w:val="clear" w:color="auto" w:fill="auto"/>
            <w:noWrap/>
            <w:vAlign w:val="center"/>
            <w:hideMark/>
          </w:tcPr>
          <w:p w14:paraId="07DCF7D7" w14:textId="77777777" w:rsidR="004940D1" w:rsidRPr="004940D1" w:rsidRDefault="004940D1" w:rsidP="004940D1">
            <w:pPr>
              <w:spacing w:after="0" w:line="240" w:lineRule="auto"/>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Citros</w:t>
            </w:r>
          </w:p>
        </w:tc>
        <w:tc>
          <w:tcPr>
            <w:tcW w:w="1020" w:type="dxa"/>
            <w:tcBorders>
              <w:right w:val="single" w:sz="4" w:space="0" w:color="auto"/>
            </w:tcBorders>
            <w:shd w:val="clear" w:color="auto" w:fill="auto"/>
            <w:noWrap/>
            <w:vAlign w:val="center"/>
            <w:hideMark/>
          </w:tcPr>
          <w:p w14:paraId="431CAEAC"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7.249</w:t>
            </w:r>
          </w:p>
        </w:tc>
        <w:tc>
          <w:tcPr>
            <w:tcW w:w="3458" w:type="dxa"/>
            <w:tcBorders>
              <w:left w:val="single" w:sz="4" w:space="0" w:color="auto"/>
            </w:tcBorders>
            <w:shd w:val="clear" w:color="auto" w:fill="auto"/>
            <w:noWrap/>
            <w:vAlign w:val="center"/>
          </w:tcPr>
          <w:p w14:paraId="3E65E5D5" w14:textId="77777777" w:rsidR="004940D1" w:rsidRPr="004940D1" w:rsidRDefault="004940D1" w:rsidP="004940D1">
            <w:pPr>
              <w:spacing w:after="0" w:line="240" w:lineRule="auto"/>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Bovinocultura de Leite</w:t>
            </w:r>
          </w:p>
        </w:tc>
        <w:tc>
          <w:tcPr>
            <w:tcW w:w="1020" w:type="dxa"/>
            <w:shd w:val="clear" w:color="auto" w:fill="auto"/>
            <w:noWrap/>
            <w:vAlign w:val="center"/>
          </w:tcPr>
          <w:p w14:paraId="662F050D"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-1.083</w:t>
            </w:r>
          </w:p>
        </w:tc>
      </w:tr>
      <w:tr w:rsidR="004940D1" w:rsidRPr="004940D1" w14:paraId="0B9B324D" w14:textId="77777777" w:rsidTr="001E7476">
        <w:trPr>
          <w:trHeight w:val="315"/>
        </w:trPr>
        <w:tc>
          <w:tcPr>
            <w:tcW w:w="3515" w:type="dxa"/>
            <w:shd w:val="clear" w:color="auto" w:fill="auto"/>
            <w:noWrap/>
            <w:vAlign w:val="center"/>
            <w:hideMark/>
          </w:tcPr>
          <w:p w14:paraId="52B91D31" w14:textId="77777777" w:rsidR="004940D1" w:rsidRPr="004940D1" w:rsidRDefault="004940D1" w:rsidP="004940D1">
            <w:pPr>
              <w:spacing w:after="0" w:line="240" w:lineRule="auto"/>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Suinocultura</w:t>
            </w:r>
          </w:p>
        </w:tc>
        <w:tc>
          <w:tcPr>
            <w:tcW w:w="1020" w:type="dxa"/>
            <w:tcBorders>
              <w:right w:val="single" w:sz="4" w:space="0" w:color="auto"/>
            </w:tcBorders>
            <w:shd w:val="clear" w:color="auto" w:fill="auto"/>
            <w:noWrap/>
            <w:vAlign w:val="center"/>
            <w:hideMark/>
          </w:tcPr>
          <w:p w14:paraId="22A1D2D8"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3.714</w:t>
            </w:r>
          </w:p>
        </w:tc>
        <w:tc>
          <w:tcPr>
            <w:tcW w:w="3458" w:type="dxa"/>
            <w:tcBorders>
              <w:left w:val="single" w:sz="4" w:space="0" w:color="auto"/>
            </w:tcBorders>
            <w:shd w:val="clear" w:color="auto" w:fill="auto"/>
            <w:noWrap/>
            <w:vAlign w:val="center"/>
          </w:tcPr>
          <w:p w14:paraId="35226D7B" w14:textId="77777777" w:rsidR="004940D1" w:rsidRPr="004940D1" w:rsidRDefault="004940D1" w:rsidP="004940D1">
            <w:pPr>
              <w:spacing w:after="0" w:line="240" w:lineRule="auto"/>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Outros Grãos</w:t>
            </w:r>
          </w:p>
        </w:tc>
        <w:tc>
          <w:tcPr>
            <w:tcW w:w="1020" w:type="dxa"/>
            <w:shd w:val="clear" w:color="auto" w:fill="auto"/>
            <w:noWrap/>
            <w:vAlign w:val="center"/>
          </w:tcPr>
          <w:p w14:paraId="04CEC654"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-1.268</w:t>
            </w:r>
          </w:p>
        </w:tc>
      </w:tr>
      <w:tr w:rsidR="004940D1" w:rsidRPr="004940D1" w14:paraId="27757644" w14:textId="77777777" w:rsidTr="001E7476">
        <w:trPr>
          <w:trHeight w:val="315"/>
        </w:trPr>
        <w:tc>
          <w:tcPr>
            <w:tcW w:w="3515" w:type="dxa"/>
            <w:shd w:val="clear" w:color="auto" w:fill="auto"/>
            <w:noWrap/>
            <w:vAlign w:val="center"/>
            <w:hideMark/>
          </w:tcPr>
          <w:p w14:paraId="5BE566C6" w14:textId="77777777" w:rsidR="004940D1" w:rsidRPr="004940D1" w:rsidRDefault="004940D1" w:rsidP="004940D1">
            <w:pPr>
              <w:spacing w:after="0" w:line="240" w:lineRule="auto"/>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Algodão</w:t>
            </w:r>
          </w:p>
        </w:tc>
        <w:tc>
          <w:tcPr>
            <w:tcW w:w="1020" w:type="dxa"/>
            <w:tcBorders>
              <w:right w:val="single" w:sz="4" w:space="0" w:color="auto"/>
            </w:tcBorders>
            <w:shd w:val="clear" w:color="auto" w:fill="auto"/>
            <w:noWrap/>
            <w:vAlign w:val="center"/>
            <w:hideMark/>
          </w:tcPr>
          <w:p w14:paraId="0AA4999E"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2.921</w:t>
            </w:r>
          </w:p>
        </w:tc>
        <w:tc>
          <w:tcPr>
            <w:tcW w:w="3458" w:type="dxa"/>
            <w:tcBorders>
              <w:left w:val="single" w:sz="4" w:space="0" w:color="auto"/>
            </w:tcBorders>
            <w:shd w:val="clear" w:color="auto" w:fill="auto"/>
            <w:noWrap/>
            <w:vAlign w:val="center"/>
          </w:tcPr>
          <w:p w14:paraId="67A5F426" w14:textId="77777777" w:rsidR="004940D1" w:rsidRPr="004940D1" w:rsidRDefault="004940D1" w:rsidP="004940D1">
            <w:pPr>
              <w:spacing w:after="0" w:line="240" w:lineRule="auto"/>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Pescados</w:t>
            </w:r>
          </w:p>
        </w:tc>
        <w:tc>
          <w:tcPr>
            <w:tcW w:w="1020" w:type="dxa"/>
            <w:shd w:val="clear" w:color="auto" w:fill="auto"/>
            <w:noWrap/>
            <w:vAlign w:val="center"/>
          </w:tcPr>
          <w:p w14:paraId="64944705"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-1.601</w:t>
            </w:r>
          </w:p>
        </w:tc>
      </w:tr>
      <w:tr w:rsidR="004940D1" w:rsidRPr="004940D1" w14:paraId="2304EF8D" w14:textId="77777777" w:rsidTr="001E7476">
        <w:trPr>
          <w:trHeight w:val="315"/>
        </w:trPr>
        <w:tc>
          <w:tcPr>
            <w:tcW w:w="3515" w:type="dxa"/>
            <w:shd w:val="clear" w:color="auto" w:fill="auto"/>
            <w:noWrap/>
            <w:vAlign w:val="center"/>
            <w:hideMark/>
          </w:tcPr>
          <w:p w14:paraId="6046D44F" w14:textId="77777777" w:rsidR="004940D1" w:rsidRPr="004940D1" w:rsidRDefault="004940D1" w:rsidP="004940D1">
            <w:pPr>
              <w:spacing w:after="0" w:line="240" w:lineRule="auto"/>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Outros Animais</w:t>
            </w:r>
          </w:p>
        </w:tc>
        <w:tc>
          <w:tcPr>
            <w:tcW w:w="1020" w:type="dxa"/>
            <w:tcBorders>
              <w:right w:val="single" w:sz="4" w:space="0" w:color="auto"/>
            </w:tcBorders>
            <w:shd w:val="clear" w:color="auto" w:fill="auto"/>
            <w:noWrap/>
            <w:vAlign w:val="center"/>
            <w:hideMark/>
          </w:tcPr>
          <w:p w14:paraId="184BD117"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2.177</w:t>
            </w:r>
          </w:p>
        </w:tc>
        <w:tc>
          <w:tcPr>
            <w:tcW w:w="3458" w:type="dxa"/>
            <w:tcBorders>
              <w:left w:val="single" w:sz="4" w:space="0" w:color="auto"/>
            </w:tcBorders>
            <w:shd w:val="clear" w:color="auto" w:fill="auto"/>
            <w:noWrap/>
            <w:vAlign w:val="center"/>
          </w:tcPr>
          <w:p w14:paraId="2FA11288" w14:textId="77777777" w:rsidR="004940D1" w:rsidRPr="004940D1" w:rsidRDefault="004940D1" w:rsidP="004940D1">
            <w:pPr>
              <w:spacing w:after="0" w:line="240" w:lineRule="auto"/>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Hortícolas</w:t>
            </w:r>
          </w:p>
        </w:tc>
        <w:tc>
          <w:tcPr>
            <w:tcW w:w="1020" w:type="dxa"/>
            <w:shd w:val="clear" w:color="auto" w:fill="auto"/>
            <w:noWrap/>
            <w:vAlign w:val="center"/>
          </w:tcPr>
          <w:p w14:paraId="5150C791"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-2.295</w:t>
            </w:r>
          </w:p>
        </w:tc>
      </w:tr>
      <w:tr w:rsidR="004940D1" w:rsidRPr="004940D1" w14:paraId="523D8000" w14:textId="77777777" w:rsidTr="001E7476">
        <w:trPr>
          <w:trHeight w:val="315"/>
        </w:trPr>
        <w:tc>
          <w:tcPr>
            <w:tcW w:w="3515" w:type="dxa"/>
            <w:shd w:val="clear" w:color="auto" w:fill="auto"/>
            <w:noWrap/>
            <w:vAlign w:val="center"/>
            <w:hideMark/>
          </w:tcPr>
          <w:p w14:paraId="0F66C0F4" w14:textId="77777777" w:rsidR="004940D1" w:rsidRPr="004940D1" w:rsidRDefault="004940D1" w:rsidP="004940D1">
            <w:pPr>
              <w:spacing w:after="0" w:line="240" w:lineRule="auto"/>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Outras Aves</w:t>
            </w:r>
          </w:p>
        </w:tc>
        <w:tc>
          <w:tcPr>
            <w:tcW w:w="1020" w:type="dxa"/>
            <w:tcBorders>
              <w:right w:val="single" w:sz="4" w:space="0" w:color="auto"/>
            </w:tcBorders>
            <w:shd w:val="clear" w:color="auto" w:fill="auto"/>
            <w:noWrap/>
            <w:vAlign w:val="center"/>
            <w:hideMark/>
          </w:tcPr>
          <w:p w14:paraId="7405041D"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1.078</w:t>
            </w:r>
          </w:p>
        </w:tc>
        <w:tc>
          <w:tcPr>
            <w:tcW w:w="3458" w:type="dxa"/>
            <w:tcBorders>
              <w:left w:val="single" w:sz="4" w:space="0" w:color="auto"/>
              <w:bottom w:val="single" w:sz="4" w:space="0" w:color="auto"/>
            </w:tcBorders>
            <w:shd w:val="clear" w:color="auto" w:fill="auto"/>
            <w:noWrap/>
            <w:vAlign w:val="center"/>
          </w:tcPr>
          <w:p w14:paraId="7F7BC491" w14:textId="77777777" w:rsidR="004940D1" w:rsidRPr="004940D1" w:rsidRDefault="004940D1" w:rsidP="004940D1">
            <w:pPr>
              <w:spacing w:after="0" w:line="240" w:lineRule="auto"/>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Trigo</w:t>
            </w:r>
          </w:p>
        </w:tc>
        <w:tc>
          <w:tcPr>
            <w:tcW w:w="1020" w:type="dxa"/>
            <w:tcBorders>
              <w:bottom w:val="single" w:sz="4" w:space="0" w:color="auto"/>
            </w:tcBorders>
            <w:shd w:val="clear" w:color="auto" w:fill="auto"/>
            <w:noWrap/>
            <w:vAlign w:val="center"/>
          </w:tcPr>
          <w:p w14:paraId="4A30EE94"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-4.959</w:t>
            </w:r>
          </w:p>
        </w:tc>
      </w:tr>
      <w:tr w:rsidR="004940D1" w:rsidRPr="004940D1" w14:paraId="6FA96E81" w14:textId="77777777" w:rsidTr="001E7476">
        <w:trPr>
          <w:trHeight w:val="315"/>
        </w:trPr>
        <w:tc>
          <w:tcPr>
            <w:tcW w:w="3515" w:type="dxa"/>
            <w:tcBorders>
              <w:bottom w:val="single" w:sz="4" w:space="0" w:color="auto"/>
            </w:tcBorders>
            <w:shd w:val="clear" w:color="auto" w:fill="auto"/>
            <w:noWrap/>
            <w:vAlign w:val="center"/>
            <w:hideMark/>
          </w:tcPr>
          <w:p w14:paraId="1C6470D8" w14:textId="77777777" w:rsidR="004940D1" w:rsidRPr="004940D1" w:rsidRDefault="004940D1" w:rsidP="004940D1">
            <w:pPr>
              <w:spacing w:after="0" w:line="240" w:lineRule="auto"/>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Bebidas Produtos Alimentícios</w:t>
            </w:r>
          </w:p>
        </w:tc>
        <w:tc>
          <w:tcPr>
            <w:tcW w:w="1020" w:type="dxa"/>
            <w:tcBorders>
              <w:bottom w:val="single" w:sz="4" w:space="0" w:color="auto"/>
              <w:right w:val="single" w:sz="4" w:space="0" w:color="auto"/>
            </w:tcBorders>
            <w:shd w:val="clear" w:color="auto" w:fill="auto"/>
            <w:noWrap/>
            <w:vAlign w:val="center"/>
            <w:hideMark/>
          </w:tcPr>
          <w:p w14:paraId="5449D713"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681</w:t>
            </w:r>
          </w:p>
        </w:tc>
        <w:tc>
          <w:tcPr>
            <w:tcW w:w="3458" w:type="dxa"/>
            <w:tcBorders>
              <w:top w:val="single" w:sz="4" w:space="0" w:color="auto"/>
              <w:left w:val="single" w:sz="4" w:space="0" w:color="auto"/>
              <w:bottom w:val="single" w:sz="4" w:space="0" w:color="auto"/>
            </w:tcBorders>
            <w:shd w:val="clear" w:color="auto" w:fill="auto"/>
            <w:noWrap/>
            <w:vAlign w:val="center"/>
          </w:tcPr>
          <w:p w14:paraId="2FCCCE1E" w14:textId="77777777" w:rsidR="004940D1" w:rsidRPr="004940D1" w:rsidRDefault="004940D1" w:rsidP="004940D1">
            <w:pPr>
              <w:spacing w:after="0" w:line="240" w:lineRule="auto"/>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Total</w:t>
            </w:r>
          </w:p>
        </w:tc>
        <w:tc>
          <w:tcPr>
            <w:tcW w:w="1020" w:type="dxa"/>
            <w:tcBorders>
              <w:top w:val="single" w:sz="4" w:space="0" w:color="auto"/>
              <w:bottom w:val="single" w:sz="4" w:space="0" w:color="auto"/>
            </w:tcBorders>
            <w:shd w:val="clear" w:color="auto" w:fill="auto"/>
            <w:noWrap/>
            <w:vAlign w:val="center"/>
          </w:tcPr>
          <w:p w14:paraId="5F0C230C" w14:textId="77777777" w:rsidR="004940D1" w:rsidRPr="004940D1" w:rsidRDefault="004940D1" w:rsidP="004940D1">
            <w:pPr>
              <w:spacing w:after="0" w:line="240" w:lineRule="auto"/>
              <w:jc w:val="center"/>
              <w:rPr>
                <w:rFonts w:ascii="Times New Roman" w:eastAsia="Times New Roman" w:hAnsi="Times New Roman" w:cs="Times New Roman"/>
                <w:bCs/>
                <w:color w:val="000000" w:themeColor="text1"/>
                <w:sz w:val="24"/>
                <w:szCs w:val="24"/>
                <w:shd w:val="clear" w:color="auto" w:fill="FFFFFF"/>
              </w:rPr>
            </w:pPr>
            <w:r w:rsidRPr="004940D1">
              <w:rPr>
                <w:rFonts w:ascii="Times New Roman" w:eastAsia="Times New Roman" w:hAnsi="Times New Roman" w:cs="Times New Roman"/>
                <w:bCs/>
                <w:color w:val="000000" w:themeColor="text1"/>
                <w:sz w:val="24"/>
                <w:szCs w:val="24"/>
                <w:shd w:val="clear" w:color="auto" w:fill="FFFFFF"/>
              </w:rPr>
              <w:t>197.911</w:t>
            </w:r>
          </w:p>
        </w:tc>
      </w:tr>
    </w:tbl>
    <w:p w14:paraId="52014153" w14:textId="5C20A115" w:rsidR="004940D1" w:rsidRPr="004940D1" w:rsidRDefault="004940D1" w:rsidP="001E7476">
      <w:pPr>
        <w:spacing w:after="0" w:line="240" w:lineRule="auto"/>
        <w:jc w:val="both"/>
        <w:rPr>
          <w:rFonts w:ascii="Times New Roman" w:eastAsia="Times New Roman" w:hAnsi="Times New Roman" w:cs="Times New Roman"/>
          <w:bCs/>
          <w:color w:val="000000" w:themeColor="text1"/>
          <w:sz w:val="24"/>
          <w:szCs w:val="24"/>
          <w:shd w:val="clear" w:color="auto" w:fill="FFFFFF"/>
        </w:rPr>
      </w:pPr>
      <w:r w:rsidRPr="00B16FAF">
        <w:rPr>
          <w:rFonts w:ascii="Times New Roman" w:eastAsia="Times New Roman" w:hAnsi="Times New Roman" w:cs="Times New Roman"/>
          <w:b/>
          <w:color w:val="000000" w:themeColor="text1"/>
          <w:sz w:val="24"/>
          <w:szCs w:val="24"/>
          <w:shd w:val="clear" w:color="auto" w:fill="FFFFFF"/>
        </w:rPr>
        <w:t>Fonte</w:t>
      </w:r>
      <w:r w:rsidRPr="00B16FAF">
        <w:rPr>
          <w:rFonts w:ascii="Times New Roman" w:eastAsia="Times New Roman" w:hAnsi="Times New Roman" w:cs="Times New Roman"/>
          <w:bCs/>
          <w:color w:val="000000" w:themeColor="text1"/>
          <w:sz w:val="24"/>
          <w:szCs w:val="24"/>
          <w:shd w:val="clear" w:color="auto" w:fill="FFFFFF"/>
        </w:rPr>
        <w:t xml:space="preserve">: </w:t>
      </w:r>
      <w:r w:rsidR="00B16FAF" w:rsidRPr="00B16FAF">
        <w:rPr>
          <w:rFonts w:ascii="Times New Roman" w:eastAsia="Times New Roman" w:hAnsi="Times New Roman" w:cs="Times New Roman"/>
          <w:bCs/>
          <w:color w:val="000000" w:themeColor="text1"/>
          <w:sz w:val="24"/>
          <w:szCs w:val="24"/>
          <w:shd w:val="clear" w:color="auto" w:fill="FFFFFF"/>
        </w:rPr>
        <w:t>Brasil</w:t>
      </w:r>
      <w:r w:rsidRPr="00B16FAF">
        <w:rPr>
          <w:rFonts w:ascii="Times New Roman" w:eastAsia="Times New Roman" w:hAnsi="Times New Roman" w:cs="Times New Roman"/>
          <w:bCs/>
          <w:color w:val="000000" w:themeColor="text1"/>
          <w:sz w:val="24"/>
          <w:szCs w:val="24"/>
          <w:shd w:val="clear" w:color="auto" w:fill="FFFFFF"/>
        </w:rPr>
        <w:t>, 2021. Correção monetária para 2019 pelo IPCA (IBGE, 2022</w:t>
      </w:r>
      <w:r w:rsidR="00B16FAF" w:rsidRPr="00B16FAF">
        <w:rPr>
          <w:rFonts w:ascii="Times New Roman" w:eastAsia="Times New Roman" w:hAnsi="Times New Roman" w:cs="Times New Roman"/>
          <w:bCs/>
          <w:color w:val="000000" w:themeColor="text1"/>
          <w:sz w:val="24"/>
          <w:szCs w:val="24"/>
          <w:shd w:val="clear" w:color="auto" w:fill="FFFFFF"/>
        </w:rPr>
        <w:t>b</w:t>
      </w:r>
      <w:r w:rsidRPr="00B16FAF">
        <w:rPr>
          <w:rFonts w:ascii="Times New Roman" w:eastAsia="Times New Roman" w:hAnsi="Times New Roman" w:cs="Times New Roman"/>
          <w:bCs/>
          <w:color w:val="000000" w:themeColor="text1"/>
          <w:sz w:val="24"/>
          <w:szCs w:val="24"/>
          <w:shd w:val="clear" w:color="auto" w:fill="FFFFFF"/>
        </w:rPr>
        <w:t>).</w:t>
      </w:r>
    </w:p>
    <w:p w14:paraId="0434244F" w14:textId="25215F2E" w:rsidR="004940D1" w:rsidRDefault="004940D1" w:rsidP="004940D1">
      <w:pPr>
        <w:pStyle w:val="NormalWeb"/>
        <w:shd w:val="clear" w:color="auto" w:fill="FFFFFF"/>
        <w:spacing w:before="0" w:after="0"/>
        <w:jc w:val="both"/>
        <w:textAlignment w:val="baseline"/>
        <w:rPr>
          <w:bCs/>
          <w:color w:val="000000" w:themeColor="text1"/>
          <w:szCs w:val="24"/>
          <w:shd w:val="clear" w:color="auto" w:fill="FFFFFF"/>
        </w:rPr>
      </w:pPr>
      <w:r w:rsidRPr="006A51CE">
        <w:rPr>
          <w:bCs/>
          <w:color w:val="000000" w:themeColor="text1"/>
          <w:szCs w:val="24"/>
          <w:shd w:val="clear" w:color="auto" w:fill="FFFFFF"/>
        </w:rPr>
        <w:tab/>
      </w:r>
      <w:r w:rsidRPr="006A51CE">
        <w:t>Para os anos mais recentes, não há dados do IBGE. Em seu lugar lança-se mão de pesquisas da Rede Brasileira de Pesquisa em Soberania e Segurança Alimentar</w:t>
      </w:r>
      <w:r w:rsidRPr="006A51CE">
        <w:rPr>
          <w:bCs/>
          <w:color w:val="000000" w:themeColor="text1"/>
          <w:szCs w:val="24"/>
          <w:shd w:val="clear" w:color="auto" w:fill="FFFFFF"/>
        </w:rPr>
        <w:t xml:space="preserve"> (</w:t>
      </w:r>
      <w:r w:rsidR="00D85794">
        <w:rPr>
          <w:bCs/>
          <w:color w:val="000000" w:themeColor="text1"/>
          <w:szCs w:val="24"/>
          <w:shd w:val="clear" w:color="auto" w:fill="FFFFFF"/>
        </w:rPr>
        <w:t xml:space="preserve">Rede </w:t>
      </w:r>
      <w:r w:rsidRPr="006A51CE">
        <w:rPr>
          <w:bCs/>
          <w:color w:val="000000" w:themeColor="text1"/>
          <w:szCs w:val="24"/>
          <w:shd w:val="clear" w:color="auto" w:fill="FFFFFF"/>
        </w:rPr>
        <w:lastRenderedPageBreak/>
        <w:t xml:space="preserve">PENSSAN), constituída por instituições acadêmicas e de pesquisa de todo o Brasil. Suas duas enquetes, à semelhança do IBGE, tiveram caráter nacional, embora com metodologia não totalmente </w:t>
      </w:r>
      <w:r w:rsidRPr="00B51083">
        <w:rPr>
          <w:bCs/>
          <w:color w:val="000000" w:themeColor="text1"/>
          <w:szCs w:val="24"/>
          <w:shd w:val="clear" w:color="auto" w:fill="FFFFFF"/>
        </w:rPr>
        <w:t>comparável com a do Instituto. A Rede PENSSAN (2022) constatou que o nível de SA no Brasil</w:t>
      </w:r>
      <w:r w:rsidRPr="006A51CE">
        <w:rPr>
          <w:bCs/>
          <w:color w:val="000000" w:themeColor="text1"/>
          <w:szCs w:val="24"/>
          <w:shd w:val="clear" w:color="auto" w:fill="FFFFFF"/>
        </w:rPr>
        <w:t xml:space="preserve"> não passou de 44,8%, em 2020, e 41,3%, em 2021/22, ou seja, mais da metade da população se declarou em situação de insegurança alimentar, o que se revela bem mais grave do que observado até 2018.</w:t>
      </w:r>
    </w:p>
    <w:p w14:paraId="5F61AA76" w14:textId="77777777" w:rsidR="00E32894" w:rsidRDefault="00E32894" w:rsidP="00B90028">
      <w:pPr>
        <w:spacing w:after="0" w:line="240" w:lineRule="auto"/>
        <w:jc w:val="both"/>
        <w:rPr>
          <w:rFonts w:ascii="Times New Roman" w:eastAsia="Times New Roman" w:hAnsi="Times New Roman" w:cs="Times New Roman"/>
          <w:sz w:val="24"/>
          <w:szCs w:val="24"/>
        </w:rPr>
      </w:pPr>
    </w:p>
    <w:p w14:paraId="40D560CF" w14:textId="16D8F850" w:rsidR="001E7476" w:rsidRPr="006A51CE" w:rsidRDefault="001E7476" w:rsidP="001E7476">
      <w:pPr>
        <w:pStyle w:val="NormalWeb"/>
        <w:shd w:val="clear" w:color="auto" w:fill="FFFFFF"/>
        <w:spacing w:before="0" w:after="0"/>
        <w:jc w:val="both"/>
        <w:textAlignment w:val="baseline"/>
        <w:rPr>
          <w:bCs/>
          <w:color w:val="000000" w:themeColor="text1"/>
          <w:szCs w:val="24"/>
          <w:shd w:val="clear" w:color="auto" w:fill="FFFFFF"/>
        </w:rPr>
      </w:pPr>
      <w:r w:rsidRPr="006A51CE">
        <w:rPr>
          <w:b/>
          <w:bCs/>
          <w:color w:val="000000" w:themeColor="text1"/>
          <w:szCs w:val="24"/>
          <w:shd w:val="clear" w:color="auto" w:fill="FFFFFF"/>
        </w:rPr>
        <w:t>3. M</w:t>
      </w:r>
      <w:r w:rsidR="001546F3" w:rsidRPr="006A51CE">
        <w:rPr>
          <w:b/>
          <w:bCs/>
          <w:color w:val="000000" w:themeColor="text1"/>
          <w:szCs w:val="24"/>
          <w:shd w:val="clear" w:color="auto" w:fill="FFFFFF"/>
        </w:rPr>
        <w:t>etodologia</w:t>
      </w:r>
    </w:p>
    <w:p w14:paraId="54EFCD46" w14:textId="77777777" w:rsidR="001E7476" w:rsidRPr="006A51CE" w:rsidRDefault="001E7476" w:rsidP="001E7476">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Para a elaboração do artigo, foi considerado o ocorrido, entre 2007 e 2021, em 19 cadeias agrícolas para fins alimentícios: arroz, avicultura de corte, avicultura de postura, banana, batata, bovinocultura de corte, bovinocultura de leite, cacau, café, cana-de-açúcar, cebola, citros, feijão, mandioca, milho, soja, suinocultura, tomate e trigo. Com alguma adaptação de nomes, a maioria delas tem seu resultado comercial registrado na Tabela 1. As exceções são batata, cebola e tomate</w:t>
      </w:r>
      <w:r>
        <w:rPr>
          <w:bCs/>
          <w:color w:val="000000" w:themeColor="text1"/>
          <w:szCs w:val="24"/>
          <w:shd w:val="clear" w:color="auto" w:fill="FFFFFF"/>
        </w:rPr>
        <w:t>,</w:t>
      </w:r>
      <w:r w:rsidRPr="006A51CE">
        <w:rPr>
          <w:bCs/>
          <w:color w:val="000000" w:themeColor="text1"/>
          <w:szCs w:val="24"/>
          <w:shd w:val="clear" w:color="auto" w:fill="FFFFFF"/>
        </w:rPr>
        <w:t xml:space="preserve"> que compõem, com outros produtos, o agrupamento hortícolas</w:t>
      </w:r>
      <w:r>
        <w:rPr>
          <w:bCs/>
          <w:color w:val="000000" w:themeColor="text1"/>
          <w:szCs w:val="24"/>
          <w:shd w:val="clear" w:color="auto" w:fill="FFFFFF"/>
        </w:rPr>
        <w:t>;</w:t>
      </w:r>
      <w:r w:rsidRPr="006A51CE">
        <w:rPr>
          <w:bCs/>
          <w:color w:val="000000" w:themeColor="text1"/>
          <w:szCs w:val="24"/>
          <w:shd w:val="clear" w:color="auto" w:fill="FFFFFF"/>
        </w:rPr>
        <w:t xml:space="preserve"> banana</w:t>
      </w:r>
      <w:r>
        <w:rPr>
          <w:bCs/>
          <w:color w:val="000000" w:themeColor="text1"/>
          <w:szCs w:val="24"/>
          <w:shd w:val="clear" w:color="auto" w:fill="FFFFFF"/>
        </w:rPr>
        <w:t>,</w:t>
      </w:r>
      <w:r w:rsidRPr="006A51CE">
        <w:rPr>
          <w:bCs/>
          <w:color w:val="000000" w:themeColor="text1"/>
          <w:szCs w:val="24"/>
          <w:shd w:val="clear" w:color="auto" w:fill="FFFFFF"/>
        </w:rPr>
        <w:t xml:space="preserve"> incluída no grupo frutas</w:t>
      </w:r>
      <w:r>
        <w:rPr>
          <w:bCs/>
          <w:color w:val="000000" w:themeColor="text1"/>
          <w:szCs w:val="24"/>
          <w:shd w:val="clear" w:color="auto" w:fill="FFFFFF"/>
        </w:rPr>
        <w:t>,</w:t>
      </w:r>
      <w:r w:rsidRPr="006A51CE">
        <w:rPr>
          <w:bCs/>
          <w:color w:val="000000" w:themeColor="text1"/>
          <w:szCs w:val="24"/>
          <w:shd w:val="clear" w:color="auto" w:fill="FFFFFF"/>
        </w:rPr>
        <w:t xml:space="preserve"> exceto citros e</w:t>
      </w:r>
      <w:r>
        <w:rPr>
          <w:bCs/>
          <w:color w:val="000000" w:themeColor="text1"/>
          <w:szCs w:val="24"/>
          <w:shd w:val="clear" w:color="auto" w:fill="FFFFFF"/>
        </w:rPr>
        <w:t>;</w:t>
      </w:r>
      <w:r w:rsidRPr="006A51CE">
        <w:rPr>
          <w:bCs/>
          <w:color w:val="000000" w:themeColor="text1"/>
          <w:szCs w:val="24"/>
          <w:shd w:val="clear" w:color="auto" w:fill="FFFFFF"/>
        </w:rPr>
        <w:t xml:space="preserve"> mandioca, em outros vegetais. </w:t>
      </w:r>
    </w:p>
    <w:p w14:paraId="0EA2DBBC" w14:textId="7834B3B5" w:rsidR="001E7476" w:rsidRDefault="001E7476" w:rsidP="001E7476">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As informações metodológicas a seguir apresentadas são mais gerais. Para os interessados em maior detalhamento, os bancos de dados usados e os cálculos e conversões realizados estão disponíveis em páginas web</w:t>
      </w:r>
      <w:r w:rsidRPr="006A51CE">
        <w:rPr>
          <w:rStyle w:val="Refdenotaderodap"/>
          <w:bCs/>
          <w:color w:val="000000" w:themeColor="text1"/>
          <w:szCs w:val="24"/>
          <w:shd w:val="clear" w:color="auto" w:fill="FFFFFF"/>
        </w:rPr>
        <w:footnoteReference w:id="2"/>
      </w:r>
      <w:r w:rsidRPr="006A51CE">
        <w:rPr>
          <w:bCs/>
          <w:color w:val="000000" w:themeColor="text1"/>
          <w:szCs w:val="24"/>
          <w:shd w:val="clear" w:color="auto" w:fill="FFFFFF"/>
        </w:rPr>
        <w:t>.</w:t>
      </w:r>
    </w:p>
    <w:p w14:paraId="2BFD4D53" w14:textId="77777777" w:rsidR="001E7476" w:rsidRPr="006A51CE" w:rsidRDefault="001E7476" w:rsidP="001E7476">
      <w:pPr>
        <w:pStyle w:val="NormalWeb"/>
        <w:shd w:val="clear" w:color="auto" w:fill="FFFFFF"/>
        <w:spacing w:before="0" w:after="0"/>
        <w:jc w:val="both"/>
        <w:textAlignment w:val="baseline"/>
        <w:rPr>
          <w:b/>
          <w:bCs/>
          <w:color w:val="000000" w:themeColor="text1"/>
          <w:szCs w:val="24"/>
          <w:shd w:val="clear" w:color="auto" w:fill="FFFFFF"/>
        </w:rPr>
      </w:pPr>
      <w:r w:rsidRPr="006A51CE">
        <w:rPr>
          <w:b/>
          <w:bCs/>
          <w:color w:val="000000" w:themeColor="text1"/>
          <w:szCs w:val="24"/>
          <w:shd w:val="clear" w:color="auto" w:fill="FFFFFF"/>
        </w:rPr>
        <w:t>3.1. Coleta de dados</w:t>
      </w:r>
    </w:p>
    <w:p w14:paraId="2F8C23F9" w14:textId="0B3B7592" w:rsidR="001E7476" w:rsidRPr="006A51CE" w:rsidRDefault="001E7476" w:rsidP="001E7476">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 xml:space="preserve">Os dados referentes ao comércio exterior brasileiro foram extraídos do Sistema Integrado de Comércio Exterior (SISCOMEX), a partir do sistema Comex Stat, usando-se a Nomenclatura Comum do Mercosul (NCM) como referencial de agrupamento de produtos </w:t>
      </w:r>
      <w:r w:rsidRPr="00656B12">
        <w:rPr>
          <w:bCs/>
          <w:color w:val="000000" w:themeColor="text1"/>
          <w:szCs w:val="24"/>
          <w:shd w:val="clear" w:color="auto" w:fill="FFFFFF"/>
        </w:rPr>
        <w:t>(BRASIL</w:t>
      </w:r>
      <w:r w:rsidR="00656B12" w:rsidRPr="00656B12">
        <w:rPr>
          <w:bCs/>
          <w:color w:val="000000" w:themeColor="text1"/>
          <w:szCs w:val="24"/>
          <w:shd w:val="clear" w:color="auto" w:fill="FFFFFF"/>
        </w:rPr>
        <w:t>,</w:t>
      </w:r>
      <w:r w:rsidRPr="00656B12">
        <w:rPr>
          <w:bCs/>
          <w:color w:val="000000" w:themeColor="text1"/>
          <w:szCs w:val="24"/>
          <w:shd w:val="clear" w:color="auto" w:fill="FFFFFF"/>
        </w:rPr>
        <w:t xml:space="preserve"> 2022). Posteriormente, cada NCM foi reagrupada nas 19 cadeias elencadas e em</w:t>
      </w:r>
      <w:r>
        <w:rPr>
          <w:bCs/>
          <w:color w:val="000000" w:themeColor="text1"/>
          <w:szCs w:val="24"/>
          <w:shd w:val="clear" w:color="auto" w:fill="FFFFFF"/>
        </w:rPr>
        <w:t xml:space="preserve"> outras aqui não consideradas</w:t>
      </w:r>
      <w:r w:rsidRPr="006A51CE">
        <w:rPr>
          <w:bCs/>
          <w:color w:val="000000" w:themeColor="text1"/>
          <w:szCs w:val="24"/>
          <w:shd w:val="clear" w:color="auto" w:fill="FFFFFF"/>
        </w:rPr>
        <w:t>. De cada uma</w:t>
      </w:r>
      <w:r>
        <w:rPr>
          <w:bCs/>
          <w:color w:val="000000" w:themeColor="text1"/>
          <w:szCs w:val="24"/>
          <w:shd w:val="clear" w:color="auto" w:fill="FFFFFF"/>
        </w:rPr>
        <w:t>,</w:t>
      </w:r>
      <w:r w:rsidRPr="006A51CE">
        <w:rPr>
          <w:bCs/>
          <w:color w:val="000000" w:themeColor="text1"/>
          <w:szCs w:val="24"/>
          <w:shd w:val="clear" w:color="auto" w:fill="FFFFFF"/>
        </w:rPr>
        <w:t xml:space="preserve"> foi selecionado o principal produto primário ou agroindustrial comercializável a ser usado no cálculo da disponibilidade. Nos casos da avicultura de postura, citros e bovinocultura de leite foram considerados mais de um produto comercializável, com os processados sendo convertidos no equivalente primário, ovos, </w:t>
      </w:r>
      <w:r w:rsidR="00EE5187">
        <w:rPr>
          <w:bCs/>
          <w:color w:val="000000" w:themeColor="text1"/>
          <w:szCs w:val="24"/>
          <w:shd w:val="clear" w:color="auto" w:fill="FFFFFF"/>
        </w:rPr>
        <w:t>laranja</w:t>
      </w:r>
      <w:r w:rsidRPr="006A51CE">
        <w:rPr>
          <w:bCs/>
          <w:color w:val="000000" w:themeColor="text1"/>
          <w:szCs w:val="24"/>
          <w:shd w:val="clear" w:color="auto" w:fill="FFFFFF"/>
        </w:rPr>
        <w:t xml:space="preserve"> e leite </w:t>
      </w:r>
      <w:r w:rsidRPr="006A51CE">
        <w:rPr>
          <w:bCs/>
          <w:i/>
          <w:iCs/>
          <w:color w:val="000000" w:themeColor="text1"/>
          <w:szCs w:val="24"/>
          <w:shd w:val="clear" w:color="auto" w:fill="FFFFFF"/>
        </w:rPr>
        <w:t>in natura</w:t>
      </w:r>
      <w:r w:rsidRPr="006A51CE">
        <w:rPr>
          <w:bCs/>
          <w:color w:val="000000" w:themeColor="text1"/>
          <w:szCs w:val="24"/>
          <w:shd w:val="clear" w:color="auto" w:fill="FFFFFF"/>
        </w:rPr>
        <w:t>. Para tanto</w:t>
      </w:r>
      <w:r>
        <w:rPr>
          <w:bCs/>
          <w:color w:val="000000" w:themeColor="text1"/>
          <w:szCs w:val="24"/>
          <w:shd w:val="clear" w:color="auto" w:fill="FFFFFF"/>
        </w:rPr>
        <w:t>,</w:t>
      </w:r>
      <w:r w:rsidRPr="006A51CE">
        <w:rPr>
          <w:bCs/>
          <w:color w:val="000000" w:themeColor="text1"/>
          <w:szCs w:val="24"/>
          <w:shd w:val="clear" w:color="auto" w:fill="FFFFFF"/>
        </w:rPr>
        <w:t xml:space="preserve"> usaram-se indicadores técnicos obtidos em trab</w:t>
      </w:r>
      <w:r w:rsidRPr="00656B12">
        <w:rPr>
          <w:bCs/>
          <w:color w:val="000000" w:themeColor="text1"/>
          <w:szCs w:val="24"/>
          <w:shd w:val="clear" w:color="auto" w:fill="FFFFFF"/>
        </w:rPr>
        <w:t xml:space="preserve">alhos de Aleixo </w:t>
      </w:r>
      <w:r w:rsidRPr="005237D4">
        <w:rPr>
          <w:bCs/>
          <w:color w:val="000000" w:themeColor="text1"/>
          <w:szCs w:val="24"/>
          <w:shd w:val="clear" w:color="auto" w:fill="FFFFFF"/>
        </w:rPr>
        <w:t>(2012)</w:t>
      </w:r>
      <w:r w:rsidR="00EE5187">
        <w:rPr>
          <w:bCs/>
          <w:color w:val="000000" w:themeColor="text1"/>
          <w:szCs w:val="24"/>
          <w:shd w:val="clear" w:color="auto" w:fill="FFFFFF"/>
        </w:rPr>
        <w:t>,</w:t>
      </w:r>
      <w:r w:rsidRPr="005237D4">
        <w:rPr>
          <w:bCs/>
          <w:color w:val="000000" w:themeColor="text1"/>
          <w:szCs w:val="24"/>
          <w:shd w:val="clear" w:color="auto" w:fill="FFFFFF"/>
        </w:rPr>
        <w:t xml:space="preserve"> Carvalho et al. (2020)</w:t>
      </w:r>
      <w:r w:rsidR="00EE5187">
        <w:rPr>
          <w:bCs/>
          <w:color w:val="000000" w:themeColor="text1"/>
          <w:szCs w:val="24"/>
          <w:shd w:val="clear" w:color="auto" w:fill="FFFFFF"/>
        </w:rPr>
        <w:t>,</w:t>
      </w:r>
      <w:r w:rsidRPr="005237D4">
        <w:rPr>
          <w:bCs/>
          <w:color w:val="000000" w:themeColor="text1"/>
          <w:szCs w:val="24"/>
          <w:shd w:val="clear" w:color="auto" w:fill="FFFFFF"/>
        </w:rPr>
        <w:t xml:space="preserve"> Gomes (2006) e Silva (2015).</w:t>
      </w:r>
    </w:p>
    <w:p w14:paraId="2E4CD17D" w14:textId="16060C42" w:rsidR="001E7476" w:rsidRPr="006A51CE" w:rsidRDefault="00480D20" w:rsidP="001E7476">
      <w:pPr>
        <w:pStyle w:val="NormalWeb"/>
        <w:shd w:val="clear" w:color="auto" w:fill="FFFFFF"/>
        <w:spacing w:before="0" w:after="0"/>
        <w:ind w:firstLine="708"/>
        <w:jc w:val="both"/>
        <w:textAlignment w:val="baseline"/>
        <w:rPr>
          <w:bCs/>
          <w:color w:val="000000" w:themeColor="text1"/>
          <w:szCs w:val="24"/>
          <w:shd w:val="clear" w:color="auto" w:fill="FFFFFF"/>
        </w:rPr>
      </w:pPr>
      <w:r>
        <w:rPr>
          <w:bCs/>
          <w:color w:val="000000" w:themeColor="text1"/>
          <w:szCs w:val="24"/>
          <w:shd w:val="clear" w:color="auto" w:fill="FFFFFF"/>
        </w:rPr>
        <w:t>Empregar</w:t>
      </w:r>
      <w:r w:rsidR="001E7476" w:rsidRPr="006A51CE">
        <w:rPr>
          <w:bCs/>
          <w:color w:val="000000" w:themeColor="text1"/>
          <w:szCs w:val="24"/>
          <w:shd w:val="clear" w:color="auto" w:fill="FFFFFF"/>
        </w:rPr>
        <w:t xml:space="preserve">am-se diversas pesquisas do IBGE e uma da CONAB (Companhia Nacional de Abastecimento) para estipular o nível de produção agrícola/agroindustrial das cadeias </w:t>
      </w:r>
      <w:r w:rsidR="001E7476" w:rsidRPr="000F4AFD">
        <w:rPr>
          <w:bCs/>
          <w:color w:val="000000" w:themeColor="text1"/>
          <w:szCs w:val="24"/>
          <w:shd w:val="clear" w:color="auto" w:fill="FFFFFF"/>
        </w:rPr>
        <w:t>analisadas. Eis a relação: Produção Agrícola Municipal - PAM (IBGE, 2022</w:t>
      </w:r>
      <w:r w:rsidR="000F4AFD" w:rsidRPr="000F4AFD">
        <w:rPr>
          <w:bCs/>
          <w:color w:val="000000" w:themeColor="text1"/>
          <w:szCs w:val="24"/>
          <w:shd w:val="clear" w:color="auto" w:fill="FFFFFF"/>
        </w:rPr>
        <w:t>e</w:t>
      </w:r>
      <w:r w:rsidR="001E7476" w:rsidRPr="000F4AFD">
        <w:rPr>
          <w:bCs/>
          <w:color w:val="000000" w:themeColor="text1"/>
          <w:szCs w:val="24"/>
          <w:shd w:val="clear" w:color="auto" w:fill="FFFFFF"/>
        </w:rPr>
        <w:t>) - para as</w:t>
      </w:r>
      <w:r w:rsidR="001E7476" w:rsidRPr="006A51CE">
        <w:rPr>
          <w:bCs/>
          <w:color w:val="000000" w:themeColor="text1"/>
          <w:szCs w:val="24"/>
          <w:shd w:val="clear" w:color="auto" w:fill="FFFFFF"/>
        </w:rPr>
        <w:t xml:space="preserve"> </w:t>
      </w:r>
      <w:r w:rsidR="001E7476" w:rsidRPr="000F4AFD">
        <w:rPr>
          <w:bCs/>
          <w:color w:val="000000" w:themeColor="text1"/>
          <w:szCs w:val="24"/>
          <w:shd w:val="clear" w:color="auto" w:fill="FFFFFF"/>
        </w:rPr>
        <w:t>lavouras; Estimativas de Safra da CONAB (CONAB, 2022) - para o açúcar; Pesquisa</w:t>
      </w:r>
      <w:r w:rsidR="001E7476" w:rsidRPr="006A51CE">
        <w:rPr>
          <w:bCs/>
          <w:color w:val="000000" w:themeColor="text1"/>
          <w:szCs w:val="24"/>
          <w:shd w:val="clear" w:color="auto" w:fill="FFFFFF"/>
        </w:rPr>
        <w:t xml:space="preserve"> </w:t>
      </w:r>
      <w:r w:rsidR="001E7476" w:rsidRPr="000F4AFD">
        <w:rPr>
          <w:bCs/>
          <w:color w:val="000000" w:themeColor="text1"/>
          <w:szCs w:val="24"/>
          <w:shd w:val="clear" w:color="auto" w:fill="FFFFFF"/>
        </w:rPr>
        <w:t>Trimestral do Abate de Animais (IBGE, 2022</w:t>
      </w:r>
      <w:r w:rsidR="000F4AFD" w:rsidRPr="000F4AFD">
        <w:rPr>
          <w:bCs/>
          <w:color w:val="000000" w:themeColor="text1"/>
          <w:szCs w:val="24"/>
          <w:shd w:val="clear" w:color="auto" w:fill="FFFFFF"/>
        </w:rPr>
        <w:t>c</w:t>
      </w:r>
      <w:r w:rsidR="001E7476" w:rsidRPr="000F4AFD">
        <w:rPr>
          <w:bCs/>
          <w:color w:val="000000" w:themeColor="text1"/>
          <w:szCs w:val="24"/>
          <w:shd w:val="clear" w:color="auto" w:fill="FFFFFF"/>
        </w:rPr>
        <w:t>)</w:t>
      </w:r>
      <w:r w:rsidR="0056660C">
        <w:rPr>
          <w:bCs/>
          <w:color w:val="000000" w:themeColor="text1"/>
          <w:szCs w:val="24"/>
          <w:shd w:val="clear" w:color="auto" w:fill="FFFFFF"/>
        </w:rPr>
        <w:t>;</w:t>
      </w:r>
      <w:r w:rsidR="001E7476" w:rsidRPr="000F4AFD">
        <w:rPr>
          <w:bCs/>
          <w:color w:val="000000" w:themeColor="text1"/>
          <w:szCs w:val="24"/>
          <w:shd w:val="clear" w:color="auto" w:fill="FFFFFF"/>
        </w:rPr>
        <w:t xml:space="preserve"> Produção de Ovos de Galinha – POG (IBGE, 2022</w:t>
      </w:r>
      <w:r w:rsidR="000F4AFD" w:rsidRPr="000F4AFD">
        <w:rPr>
          <w:bCs/>
          <w:color w:val="000000" w:themeColor="text1"/>
          <w:szCs w:val="24"/>
          <w:shd w:val="clear" w:color="auto" w:fill="FFFFFF"/>
        </w:rPr>
        <w:t>f</w:t>
      </w:r>
      <w:r w:rsidR="001E7476" w:rsidRPr="000F4AFD">
        <w:rPr>
          <w:bCs/>
          <w:color w:val="000000" w:themeColor="text1"/>
          <w:szCs w:val="24"/>
          <w:shd w:val="clear" w:color="auto" w:fill="FFFFFF"/>
        </w:rPr>
        <w:t>) e Pesquisa Trimestral do Leite (IBGE, 2022</w:t>
      </w:r>
      <w:r w:rsidR="000F4AFD" w:rsidRPr="000F4AFD">
        <w:rPr>
          <w:bCs/>
          <w:color w:val="000000" w:themeColor="text1"/>
          <w:szCs w:val="24"/>
          <w:shd w:val="clear" w:color="auto" w:fill="FFFFFF"/>
        </w:rPr>
        <w:t>d</w:t>
      </w:r>
      <w:r w:rsidR="001E7476" w:rsidRPr="000F4AFD">
        <w:rPr>
          <w:bCs/>
          <w:color w:val="000000" w:themeColor="text1"/>
          <w:szCs w:val="24"/>
          <w:shd w:val="clear" w:color="auto" w:fill="FFFFFF"/>
        </w:rPr>
        <w:t>), as três últimas para os produtos de origem</w:t>
      </w:r>
      <w:r w:rsidR="001E7476" w:rsidRPr="006A51CE">
        <w:rPr>
          <w:bCs/>
          <w:color w:val="000000" w:themeColor="text1"/>
          <w:szCs w:val="24"/>
          <w:shd w:val="clear" w:color="auto" w:fill="FFFFFF"/>
        </w:rPr>
        <w:t xml:space="preserve"> animal. </w:t>
      </w:r>
    </w:p>
    <w:p w14:paraId="540D6D91" w14:textId="1FD7F72A" w:rsidR="001E7476" w:rsidRPr="00B778E6" w:rsidRDefault="001E7476" w:rsidP="001E7476">
      <w:pPr>
        <w:pStyle w:val="NormalWeb"/>
        <w:shd w:val="clear" w:color="auto" w:fill="FFFFFF"/>
        <w:spacing w:before="0" w:after="0"/>
        <w:ind w:firstLine="708"/>
        <w:jc w:val="both"/>
        <w:textAlignment w:val="baseline"/>
        <w:rPr>
          <w:bCs/>
          <w:color w:val="000000" w:themeColor="text1"/>
          <w:szCs w:val="24"/>
          <w:shd w:val="clear" w:color="auto" w:fill="FFFFFF"/>
        </w:rPr>
      </w:pPr>
      <w:r w:rsidRPr="00B778E6">
        <w:rPr>
          <w:bCs/>
          <w:color w:val="000000" w:themeColor="text1"/>
          <w:szCs w:val="24"/>
          <w:shd w:val="clear" w:color="auto" w:fill="FFFFFF"/>
        </w:rPr>
        <w:t>Também do IBGE, originaram-se as informações sobre a população brasileira (IBGE, 2007</w:t>
      </w:r>
      <w:r w:rsidR="00B778E6" w:rsidRPr="00B778E6">
        <w:rPr>
          <w:bCs/>
          <w:color w:val="000000" w:themeColor="text1"/>
          <w:szCs w:val="24"/>
          <w:shd w:val="clear" w:color="auto" w:fill="FFFFFF"/>
        </w:rPr>
        <w:t>;</w:t>
      </w:r>
      <w:r w:rsidRPr="00B778E6">
        <w:rPr>
          <w:bCs/>
          <w:color w:val="000000" w:themeColor="text1"/>
          <w:szCs w:val="24"/>
          <w:shd w:val="clear" w:color="auto" w:fill="FFFFFF"/>
        </w:rPr>
        <w:t xml:space="preserve"> IBGE, 2010</w:t>
      </w:r>
      <w:r w:rsidR="00B778E6" w:rsidRPr="00B778E6">
        <w:rPr>
          <w:bCs/>
          <w:color w:val="000000" w:themeColor="text1"/>
          <w:szCs w:val="24"/>
          <w:shd w:val="clear" w:color="auto" w:fill="FFFFFF"/>
        </w:rPr>
        <w:t>;</w:t>
      </w:r>
      <w:r w:rsidRPr="00B778E6">
        <w:rPr>
          <w:bCs/>
          <w:color w:val="000000" w:themeColor="text1"/>
          <w:szCs w:val="24"/>
          <w:shd w:val="clear" w:color="auto" w:fill="FFFFFF"/>
        </w:rPr>
        <w:t xml:space="preserve"> IBGE, 2022a).</w:t>
      </w:r>
    </w:p>
    <w:p w14:paraId="2231469E" w14:textId="1595E2E4" w:rsidR="001E7476" w:rsidRPr="006A51CE" w:rsidRDefault="001E7476" w:rsidP="001E7476">
      <w:pPr>
        <w:pStyle w:val="NormalWeb"/>
        <w:shd w:val="clear" w:color="auto" w:fill="FFFFFF"/>
        <w:spacing w:before="0" w:after="0"/>
        <w:ind w:firstLine="708"/>
        <w:jc w:val="both"/>
        <w:textAlignment w:val="baseline"/>
        <w:rPr>
          <w:bCs/>
          <w:color w:val="000000" w:themeColor="text1"/>
          <w:szCs w:val="24"/>
          <w:shd w:val="clear" w:color="auto" w:fill="FFFFFF"/>
        </w:rPr>
      </w:pPr>
      <w:r w:rsidRPr="00B778E6">
        <w:rPr>
          <w:bCs/>
          <w:color w:val="000000" w:themeColor="text1"/>
          <w:szCs w:val="24"/>
          <w:shd w:val="clear" w:color="auto" w:fill="FFFFFF"/>
        </w:rPr>
        <w:t>As variações dos preços dos alimentos ao consumidor foram obtidas na base de dados</w:t>
      </w:r>
      <w:r w:rsidRPr="006A51CE">
        <w:rPr>
          <w:bCs/>
          <w:color w:val="000000" w:themeColor="text1"/>
          <w:szCs w:val="24"/>
          <w:shd w:val="clear" w:color="auto" w:fill="FFFFFF"/>
        </w:rPr>
        <w:t xml:space="preserve"> </w:t>
      </w:r>
      <w:r w:rsidRPr="00B778E6">
        <w:rPr>
          <w:bCs/>
          <w:color w:val="000000" w:themeColor="text1"/>
          <w:szCs w:val="24"/>
          <w:shd w:val="clear" w:color="auto" w:fill="FFFFFF"/>
        </w:rPr>
        <w:t>do Índice Nacional de Preços ao Consumidor Amplo (IPCA), a cargo do IBGE (2022</w:t>
      </w:r>
      <w:r w:rsidR="00B778E6" w:rsidRPr="00B778E6">
        <w:rPr>
          <w:bCs/>
          <w:color w:val="000000" w:themeColor="text1"/>
          <w:szCs w:val="24"/>
          <w:shd w:val="clear" w:color="auto" w:fill="FFFFFF"/>
        </w:rPr>
        <w:t>b</w:t>
      </w:r>
      <w:r w:rsidRPr="00B778E6">
        <w:rPr>
          <w:bCs/>
          <w:color w:val="000000" w:themeColor="text1"/>
          <w:szCs w:val="24"/>
          <w:shd w:val="clear" w:color="auto" w:fill="FFFFFF"/>
        </w:rPr>
        <w:t>). Assim</w:t>
      </w:r>
      <w:r w:rsidRPr="006A51CE">
        <w:rPr>
          <w:bCs/>
          <w:color w:val="000000" w:themeColor="text1"/>
          <w:szCs w:val="24"/>
          <w:shd w:val="clear" w:color="auto" w:fill="FFFFFF"/>
        </w:rPr>
        <w:t xml:space="preserve"> como os dados de comércio exterior, os subitens que compõem o IPCA foram reagrupados nas 19 cadeias agroalimentares estudadas.</w:t>
      </w:r>
    </w:p>
    <w:p w14:paraId="1C8DA60E" w14:textId="5D4BDA9B" w:rsidR="00185866" w:rsidRDefault="001E7476" w:rsidP="001E7476">
      <w:pPr>
        <w:pStyle w:val="NormalWeb"/>
        <w:shd w:val="clear" w:color="auto" w:fill="FFFFFF"/>
        <w:spacing w:before="0" w:after="0"/>
        <w:ind w:firstLine="708"/>
        <w:jc w:val="both"/>
        <w:textAlignment w:val="baseline"/>
        <w:rPr>
          <w:szCs w:val="24"/>
        </w:rPr>
      </w:pPr>
      <w:r w:rsidRPr="006A51CE">
        <w:rPr>
          <w:bCs/>
          <w:color w:val="000000" w:themeColor="text1"/>
          <w:szCs w:val="24"/>
          <w:shd w:val="clear" w:color="auto" w:fill="FFFFFF"/>
        </w:rPr>
        <w:t>Julga-se conveniente fazer alguns comentários adicionais em relação ao IPCA, que é o índice oficial de inflação ao consumidor do Brasil, cuja po</w:t>
      </w:r>
      <w:r w:rsidRPr="006A51CE">
        <w:rPr>
          <w:szCs w:val="24"/>
        </w:rPr>
        <w:t xml:space="preserve">pulação-objetivo são as famílias urbanas de diversas capitais ou regiões metropolitanas, com rendimentos de 1 a 40 salários </w:t>
      </w:r>
      <w:r w:rsidRPr="00B778E6">
        <w:rPr>
          <w:szCs w:val="24"/>
        </w:rPr>
        <w:lastRenderedPageBreak/>
        <w:t>mínimos (IBGE, 20</w:t>
      </w:r>
      <w:r w:rsidR="00B778E6" w:rsidRPr="00B778E6">
        <w:rPr>
          <w:szCs w:val="24"/>
        </w:rPr>
        <w:t>20b</w:t>
      </w:r>
      <w:r w:rsidRPr="00B778E6">
        <w:rPr>
          <w:szCs w:val="24"/>
        </w:rPr>
        <w:t>). Os bens e serviços do IPCA são classificados em quatro níveis de</w:t>
      </w:r>
      <w:r w:rsidRPr="006A51CE">
        <w:rPr>
          <w:szCs w:val="24"/>
        </w:rPr>
        <w:t xml:space="preserve"> hierarquia: grupos, subgrupos, itens e subitens. A cada um é atribuído um coeficiente de ponderação, resultado da razão entre o valor de seu gasto e o total das despesas do consumidor com todos os bens e serviços. As estimativas dos gastos com consumo provêm de edições da Pesquisa de Orçamento Familiar (POF), feitas também pelo IBGE. O IPCA de 2007 e 2011 se baseou na POF 2002/03, de 2012 a 2019, na de 2008/09 e, após 2020, vem</w:t>
      </w:r>
      <w:r w:rsidR="00041517">
        <w:rPr>
          <w:szCs w:val="24"/>
        </w:rPr>
        <w:t>-</w:t>
      </w:r>
      <w:r w:rsidRPr="006A51CE">
        <w:rPr>
          <w:szCs w:val="24"/>
        </w:rPr>
        <w:t xml:space="preserve">se usando a </w:t>
      </w:r>
      <w:r>
        <w:rPr>
          <w:szCs w:val="24"/>
        </w:rPr>
        <w:t xml:space="preserve">POF </w:t>
      </w:r>
      <w:r w:rsidRPr="006A51CE">
        <w:rPr>
          <w:szCs w:val="24"/>
        </w:rPr>
        <w:t>de 2017/18. Os grupos de despesas considerados são nove, entre eles o de Alimentação e Bebidas</w:t>
      </w:r>
      <w:r>
        <w:rPr>
          <w:szCs w:val="24"/>
        </w:rPr>
        <w:t xml:space="preserve"> (IPAB)</w:t>
      </w:r>
      <w:r w:rsidRPr="006A51CE">
        <w:rPr>
          <w:szCs w:val="24"/>
        </w:rPr>
        <w:t>, com dois subgrupos: Alimentação no Domicílio (I</w:t>
      </w:r>
      <w:r>
        <w:rPr>
          <w:szCs w:val="24"/>
        </w:rPr>
        <w:t>P</w:t>
      </w:r>
      <w:r w:rsidRPr="006A51CE">
        <w:rPr>
          <w:szCs w:val="24"/>
        </w:rPr>
        <w:t>AD) e Alimentação Fora do Domicílio (I</w:t>
      </w:r>
      <w:r>
        <w:rPr>
          <w:szCs w:val="24"/>
        </w:rPr>
        <w:t>P</w:t>
      </w:r>
      <w:r w:rsidRPr="006A51CE">
        <w:rPr>
          <w:szCs w:val="24"/>
        </w:rPr>
        <w:t>AF). O primeiro subgrupo contém 16 itens, os mesmos nas três POF citadas e, aproximadamente, 160 subitens, com algumas alterações, de acordo com as mudanças no padrão de consumo observadas nas POF.</w:t>
      </w:r>
    </w:p>
    <w:p w14:paraId="715B331A" w14:textId="77777777" w:rsidR="001E7476" w:rsidRPr="006A51CE" w:rsidRDefault="001E7476" w:rsidP="001E7476">
      <w:pPr>
        <w:pStyle w:val="NormalWeb"/>
        <w:shd w:val="clear" w:color="auto" w:fill="FFFFFF"/>
        <w:spacing w:before="0" w:after="0"/>
        <w:jc w:val="both"/>
        <w:textAlignment w:val="baseline"/>
        <w:rPr>
          <w:b/>
          <w:bCs/>
          <w:color w:val="000000" w:themeColor="text1"/>
          <w:szCs w:val="24"/>
          <w:shd w:val="clear" w:color="auto" w:fill="FFFFFF"/>
        </w:rPr>
      </w:pPr>
      <w:r w:rsidRPr="006A51CE">
        <w:rPr>
          <w:b/>
          <w:bCs/>
          <w:color w:val="000000" w:themeColor="text1"/>
          <w:szCs w:val="24"/>
          <w:shd w:val="clear" w:color="auto" w:fill="FFFFFF"/>
        </w:rPr>
        <w:t>3.2. Descrição das Variáveis</w:t>
      </w:r>
    </w:p>
    <w:p w14:paraId="52C46814" w14:textId="77777777" w:rsidR="001E7476" w:rsidRPr="006A51CE" w:rsidRDefault="001E7476" w:rsidP="001E7476">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Devido ao uso de diferentes bases de dados, fizeram-se algumas adaptações para torná-las compatíveis para as subsequentes análises</w:t>
      </w:r>
      <w:r>
        <w:rPr>
          <w:bCs/>
          <w:color w:val="000000" w:themeColor="text1"/>
          <w:szCs w:val="24"/>
          <w:shd w:val="clear" w:color="auto" w:fill="FFFFFF"/>
        </w:rPr>
        <w:t xml:space="preserve"> comparativas</w:t>
      </w:r>
      <w:r w:rsidRPr="006A51CE">
        <w:rPr>
          <w:bCs/>
          <w:color w:val="000000" w:themeColor="text1"/>
          <w:szCs w:val="24"/>
          <w:shd w:val="clear" w:color="auto" w:fill="FFFFFF"/>
        </w:rPr>
        <w:t>. Como já referido, foram consideradas 19 cadeias agroalimentares, delimitadas a partir do produto agrícola. A seguir, comenta-se a construção das variáveis analisadas:</w:t>
      </w:r>
    </w:p>
    <w:p w14:paraId="53D99604" w14:textId="77777777" w:rsidR="001E7476" w:rsidRPr="006A51CE" w:rsidRDefault="001E7476" w:rsidP="001E7476">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a) Quantidades físicas do comércio exterior – valores disponibilizados em quilogramas, sendo convertidos para milhões de toneladas. Realizaram-se algumas adequações ou simplificações, como no caso da soja, em que se considerou apenas a comercialização de soja em grão e não de farelo e óleo. Na cana-de-açúcar, considerou-se apenas o açúcar e não o etanol. Para a bovinocultura de leite, avicultura de postura e citros, como já informado, foi feita a conversão dos produtos agroindustriais na quantidade de matéria-prima que lhes deram origem;</w:t>
      </w:r>
    </w:p>
    <w:p w14:paraId="5D5CED9F" w14:textId="72B6F302" w:rsidR="001E7476" w:rsidRPr="006A51CE" w:rsidRDefault="001E7476" w:rsidP="001E7476">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b) Produção nacional – obtida de diversas fontes de produção primária ou agroindustrial do IBGE e da CONAB, em milhões de toneladas. No caso dos ovos de galinha e leite, houve a necessidade de transformar as unidades do IBGE</w:t>
      </w:r>
      <w:r w:rsidR="00CB3732">
        <w:rPr>
          <w:bCs/>
          <w:color w:val="000000" w:themeColor="text1"/>
          <w:szCs w:val="24"/>
          <w:shd w:val="clear" w:color="auto" w:fill="FFFFFF"/>
        </w:rPr>
        <w:t xml:space="preserve"> -</w:t>
      </w:r>
      <w:r w:rsidRPr="006A51CE">
        <w:rPr>
          <w:bCs/>
          <w:color w:val="000000" w:themeColor="text1"/>
          <w:szCs w:val="24"/>
          <w:shd w:val="clear" w:color="auto" w:fill="FFFFFF"/>
        </w:rPr>
        <w:t xml:space="preserve"> que são mil dúzias e mil litros, </w:t>
      </w:r>
      <w:r w:rsidRPr="008B1EDC">
        <w:rPr>
          <w:bCs/>
          <w:color w:val="000000" w:themeColor="text1"/>
          <w:szCs w:val="24"/>
          <w:shd w:val="clear" w:color="auto" w:fill="FFFFFF"/>
        </w:rPr>
        <w:t>respectivamente</w:t>
      </w:r>
      <w:r w:rsidR="00CB3732">
        <w:rPr>
          <w:bCs/>
          <w:color w:val="000000" w:themeColor="text1"/>
          <w:szCs w:val="24"/>
          <w:shd w:val="clear" w:color="auto" w:fill="FFFFFF"/>
        </w:rPr>
        <w:t xml:space="preserve"> -</w:t>
      </w:r>
      <w:r w:rsidRPr="008B1EDC">
        <w:rPr>
          <w:bCs/>
          <w:color w:val="000000" w:themeColor="text1"/>
          <w:szCs w:val="24"/>
          <w:shd w:val="clear" w:color="auto" w:fill="FFFFFF"/>
        </w:rPr>
        <w:t xml:space="preserve"> em unidade de peso, conforme índices técnicos (BRASIL, 1965; BRASIL, 2013);</w:t>
      </w:r>
    </w:p>
    <w:p w14:paraId="5114C241" w14:textId="77777777" w:rsidR="001E7476" w:rsidRPr="006A51CE" w:rsidRDefault="001E7476" w:rsidP="001E7476">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 xml:space="preserve">c) Disponibilidade Interna </w:t>
      </w:r>
      <w:r w:rsidRPr="006A51CE">
        <w:rPr>
          <w:bCs/>
          <w:i/>
          <w:color w:val="000000" w:themeColor="text1"/>
          <w:szCs w:val="24"/>
          <w:shd w:val="clear" w:color="auto" w:fill="FFFFFF"/>
        </w:rPr>
        <w:t>per capita</w:t>
      </w:r>
      <w:r w:rsidRPr="006A51CE">
        <w:rPr>
          <w:bCs/>
          <w:color w:val="000000" w:themeColor="text1"/>
          <w:szCs w:val="24"/>
          <w:shd w:val="clear" w:color="auto" w:fill="FFFFFF"/>
        </w:rPr>
        <w:t xml:space="preserve"> – tomando por base o baixo nível de estoques de alimentos no Brasil e desconsiderando-se as perdas, desperdícios e usos não alimentícios, calculou-se a disponibilidade de cada produto somando à produção nacional o volume importado e subtraindo-se o exportado. Ao dividir a disponibilidade pelas projeções da população brasileira, obteve-se a disponibilidade </w:t>
      </w:r>
      <w:r w:rsidRPr="006A51CE">
        <w:rPr>
          <w:bCs/>
          <w:i/>
          <w:color w:val="000000" w:themeColor="text1"/>
          <w:szCs w:val="24"/>
          <w:shd w:val="clear" w:color="auto" w:fill="FFFFFF"/>
        </w:rPr>
        <w:t>per capita</w:t>
      </w:r>
      <w:r w:rsidRPr="006A51CE">
        <w:rPr>
          <w:bCs/>
          <w:color w:val="000000" w:themeColor="text1"/>
          <w:szCs w:val="24"/>
          <w:shd w:val="clear" w:color="auto" w:fill="FFFFFF"/>
        </w:rPr>
        <w:t xml:space="preserve">, apresentada na unidade de quilogramas </w:t>
      </w:r>
      <w:r w:rsidRPr="006A51CE">
        <w:rPr>
          <w:bCs/>
          <w:i/>
          <w:color w:val="000000" w:themeColor="text1"/>
          <w:szCs w:val="24"/>
          <w:shd w:val="clear" w:color="auto" w:fill="FFFFFF"/>
        </w:rPr>
        <w:t>per capita</w:t>
      </w:r>
      <w:r w:rsidRPr="006A51CE">
        <w:rPr>
          <w:bCs/>
          <w:color w:val="000000" w:themeColor="text1"/>
          <w:szCs w:val="24"/>
          <w:shd w:val="clear" w:color="auto" w:fill="FFFFFF"/>
        </w:rPr>
        <w:t>;</w:t>
      </w:r>
    </w:p>
    <w:p w14:paraId="246D1B1F" w14:textId="77777777" w:rsidR="001E7476" w:rsidRPr="006A51CE" w:rsidRDefault="001E7476" w:rsidP="001E7476">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t>d) Preços ao consumidor – utilizaram-se os subitens do subgrupo Alimentação no Domicílio, um dos dois integrantes do grupo Alimentação e Bebidas. Os subitens foram reagrupados nas 19 cadeias já citadas e a variação de preços em cada uma delas foi feita</w:t>
      </w:r>
      <w:r w:rsidRPr="006A51CE">
        <w:rPr>
          <w:bCs/>
          <w:color w:val="00B0F0"/>
          <w:szCs w:val="24"/>
          <w:shd w:val="clear" w:color="auto" w:fill="FFFFFF"/>
        </w:rPr>
        <w:t xml:space="preserve"> </w:t>
      </w:r>
      <w:r w:rsidRPr="006A51CE">
        <w:rPr>
          <w:bCs/>
          <w:color w:val="000000" w:themeColor="text1"/>
          <w:szCs w:val="24"/>
          <w:shd w:val="clear" w:color="auto" w:fill="FFFFFF"/>
        </w:rPr>
        <w:t>ponderando a variação de preços de cada subitem pela sua participação no gasto do consumidor. Saliente-se que alguns subitens não foram computados, por não pertencerem às cadeias analisadas ou por se relacionarem com mais de uma cadeia. Além da variação de preços, calculou-se a contribuição de cada cadeia para a inflação da alimentação no domicílio, levando em conta a importância de cada uma no</w:t>
      </w:r>
      <w:r>
        <w:rPr>
          <w:bCs/>
          <w:color w:val="000000" w:themeColor="text1"/>
          <w:szCs w:val="24"/>
          <w:shd w:val="clear" w:color="auto" w:fill="FFFFFF"/>
        </w:rPr>
        <w:t xml:space="preserve"> total de</w:t>
      </w:r>
      <w:r w:rsidRPr="006A51CE">
        <w:rPr>
          <w:bCs/>
          <w:color w:val="000000" w:themeColor="text1"/>
          <w:szCs w:val="24"/>
          <w:shd w:val="clear" w:color="auto" w:fill="FFFFFF"/>
        </w:rPr>
        <w:t xml:space="preserve"> gastos do consumidor.</w:t>
      </w:r>
    </w:p>
    <w:p w14:paraId="08B63022" w14:textId="0FF6B58E" w:rsidR="001E7476" w:rsidRDefault="00480D20" w:rsidP="001E7476">
      <w:pPr>
        <w:pStyle w:val="NormalWeb"/>
        <w:shd w:val="clear" w:color="auto" w:fill="FFFFFF"/>
        <w:spacing w:before="0" w:after="0"/>
        <w:ind w:firstLine="708"/>
        <w:jc w:val="both"/>
        <w:textAlignment w:val="baseline"/>
        <w:rPr>
          <w:bCs/>
          <w:color w:val="000000" w:themeColor="text1"/>
          <w:szCs w:val="24"/>
          <w:shd w:val="clear" w:color="auto" w:fill="FFFFFF"/>
        </w:rPr>
      </w:pPr>
      <w:r>
        <w:rPr>
          <w:bCs/>
          <w:color w:val="000000" w:themeColor="text1"/>
          <w:szCs w:val="24"/>
          <w:shd w:val="clear" w:color="auto" w:fill="FFFFFF"/>
        </w:rPr>
        <w:t>A</w:t>
      </w:r>
      <w:r w:rsidR="001E7476" w:rsidRPr="006A51CE">
        <w:rPr>
          <w:bCs/>
          <w:color w:val="000000" w:themeColor="text1"/>
          <w:szCs w:val="24"/>
          <w:shd w:val="clear" w:color="auto" w:fill="FFFFFF"/>
        </w:rPr>
        <w:t xml:space="preserve"> </w:t>
      </w:r>
      <w:r>
        <w:rPr>
          <w:bCs/>
          <w:color w:val="000000" w:themeColor="text1"/>
          <w:szCs w:val="24"/>
          <w:shd w:val="clear" w:color="auto" w:fill="FFFFFF"/>
        </w:rPr>
        <w:t xml:space="preserve">relação </w:t>
      </w:r>
      <w:r w:rsidR="001E7476" w:rsidRPr="006A51CE">
        <w:rPr>
          <w:bCs/>
          <w:color w:val="000000" w:themeColor="text1"/>
          <w:szCs w:val="24"/>
          <w:shd w:val="clear" w:color="auto" w:fill="FFFFFF"/>
        </w:rPr>
        <w:t>dos produtos usados para medir a produção nacional, os fluxos comerciais externos e os preços ao consumidor</w:t>
      </w:r>
      <w:r>
        <w:rPr>
          <w:bCs/>
          <w:color w:val="000000" w:themeColor="text1"/>
          <w:szCs w:val="24"/>
          <w:shd w:val="clear" w:color="auto" w:fill="FFFFFF"/>
        </w:rPr>
        <w:t xml:space="preserve"> pode ser encontrada na</w:t>
      </w:r>
      <w:r w:rsidR="00C766C5">
        <w:rPr>
          <w:bCs/>
          <w:color w:val="000000" w:themeColor="text1"/>
          <w:szCs w:val="24"/>
          <w:shd w:val="clear" w:color="auto" w:fill="FFFFFF"/>
        </w:rPr>
        <w:t>s</w:t>
      </w:r>
      <w:r>
        <w:rPr>
          <w:bCs/>
          <w:color w:val="000000" w:themeColor="text1"/>
          <w:szCs w:val="24"/>
          <w:shd w:val="clear" w:color="auto" w:fill="FFFFFF"/>
        </w:rPr>
        <w:t xml:space="preserve"> página</w:t>
      </w:r>
      <w:r w:rsidR="00C766C5">
        <w:rPr>
          <w:bCs/>
          <w:color w:val="000000" w:themeColor="text1"/>
          <w:szCs w:val="24"/>
          <w:shd w:val="clear" w:color="auto" w:fill="FFFFFF"/>
        </w:rPr>
        <w:t>s</w:t>
      </w:r>
      <w:r>
        <w:rPr>
          <w:bCs/>
          <w:color w:val="000000" w:themeColor="text1"/>
          <w:szCs w:val="24"/>
          <w:shd w:val="clear" w:color="auto" w:fill="FFFFFF"/>
        </w:rPr>
        <w:t xml:space="preserve"> web já citada</w:t>
      </w:r>
      <w:r w:rsidR="00C766C5">
        <w:rPr>
          <w:bCs/>
          <w:color w:val="000000" w:themeColor="text1"/>
          <w:szCs w:val="24"/>
          <w:shd w:val="clear" w:color="auto" w:fill="FFFFFF"/>
        </w:rPr>
        <w:t>s</w:t>
      </w:r>
      <w:r>
        <w:rPr>
          <w:bCs/>
          <w:color w:val="000000" w:themeColor="text1"/>
          <w:szCs w:val="24"/>
          <w:shd w:val="clear" w:color="auto" w:fill="FFFFFF"/>
        </w:rPr>
        <w:t>.</w:t>
      </w:r>
    </w:p>
    <w:p w14:paraId="3E019D06" w14:textId="77777777" w:rsidR="001E7476" w:rsidRPr="006A51CE" w:rsidRDefault="001E7476" w:rsidP="001E7476">
      <w:pPr>
        <w:pStyle w:val="NormalWeb"/>
        <w:shd w:val="clear" w:color="auto" w:fill="FFFFFF"/>
        <w:spacing w:before="0" w:after="0"/>
        <w:jc w:val="both"/>
        <w:textAlignment w:val="baseline"/>
        <w:rPr>
          <w:b/>
          <w:bCs/>
          <w:color w:val="000000" w:themeColor="text1"/>
          <w:szCs w:val="24"/>
          <w:shd w:val="clear" w:color="auto" w:fill="FFFFFF"/>
        </w:rPr>
      </w:pPr>
      <w:r w:rsidRPr="006A51CE">
        <w:rPr>
          <w:b/>
          <w:bCs/>
          <w:color w:val="000000" w:themeColor="text1"/>
          <w:szCs w:val="24"/>
          <w:shd w:val="clear" w:color="auto" w:fill="FFFFFF"/>
        </w:rPr>
        <w:t>3.3. Grupos de Alimentos</w:t>
      </w:r>
    </w:p>
    <w:p w14:paraId="5EF1C100" w14:textId="22371DA4" w:rsidR="001E7476" w:rsidRDefault="001E7476" w:rsidP="001E7476">
      <w:pPr>
        <w:pStyle w:val="NormalWeb"/>
        <w:shd w:val="clear" w:color="auto" w:fill="FFFFFF"/>
        <w:spacing w:before="0" w:after="0"/>
        <w:ind w:firstLine="708"/>
        <w:jc w:val="both"/>
        <w:textAlignment w:val="baseline"/>
        <w:rPr>
          <w:bCs/>
          <w:color w:val="000000" w:themeColor="text1"/>
          <w:szCs w:val="24"/>
          <w:shd w:val="clear" w:color="auto" w:fill="FFFFFF"/>
        </w:rPr>
      </w:pPr>
      <w:r w:rsidRPr="006A51CE">
        <w:rPr>
          <w:bCs/>
          <w:color w:val="000000" w:themeColor="text1"/>
          <w:szCs w:val="24"/>
          <w:shd w:val="clear" w:color="auto" w:fill="FFFFFF"/>
        </w:rPr>
        <w:lastRenderedPageBreak/>
        <w:t xml:space="preserve">Como se pretende analisar a variação de preços e disponibilidade interna dos diversos alimentos de acordo com o grau de abertura comercial, baseando-se na metodologia adaptada </w:t>
      </w:r>
      <w:r w:rsidRPr="008B1EDC">
        <w:rPr>
          <w:bCs/>
          <w:color w:val="000000" w:themeColor="text1"/>
          <w:szCs w:val="24"/>
          <w:shd w:val="clear" w:color="auto" w:fill="FFFFFF"/>
        </w:rPr>
        <w:t>do IPEA (2011), as cadeias foram classificadas em três grupos, conforme o Quadro 1.</w:t>
      </w:r>
      <w:r w:rsidR="00E94832" w:rsidRPr="008B1EDC">
        <w:rPr>
          <w:bCs/>
          <w:color w:val="000000" w:themeColor="text1"/>
          <w:szCs w:val="24"/>
          <w:shd w:val="clear" w:color="auto" w:fill="FFFFFF"/>
        </w:rPr>
        <w:t xml:space="preserve"> Para</w:t>
      </w:r>
      <w:r w:rsidR="00E94832">
        <w:rPr>
          <w:bCs/>
          <w:color w:val="000000" w:themeColor="text1"/>
          <w:szCs w:val="24"/>
          <w:shd w:val="clear" w:color="auto" w:fill="FFFFFF"/>
        </w:rPr>
        <w:t xml:space="preserve"> tanto, foram consideradas as médias dos fluxos comerciais e da produção nacional do período 1997 a 2019.</w:t>
      </w:r>
    </w:p>
    <w:p w14:paraId="7B860453" w14:textId="616F3C4D" w:rsidR="001E7476" w:rsidRPr="001E7476" w:rsidRDefault="001E7476" w:rsidP="001E7476">
      <w:pPr>
        <w:pStyle w:val="NormalWeb"/>
        <w:shd w:val="clear" w:color="auto" w:fill="FFFFFF"/>
        <w:spacing w:before="0" w:after="0"/>
        <w:jc w:val="both"/>
        <w:textAlignment w:val="baseline"/>
        <w:rPr>
          <w:bCs/>
          <w:color w:val="000000" w:themeColor="text1"/>
          <w:szCs w:val="24"/>
          <w:shd w:val="clear" w:color="auto" w:fill="FFFFFF"/>
        </w:rPr>
      </w:pPr>
      <w:r w:rsidRPr="001E7476">
        <w:rPr>
          <w:b/>
          <w:color w:val="000000" w:themeColor="text1"/>
          <w:szCs w:val="24"/>
          <w:shd w:val="clear" w:color="auto" w:fill="FFFFFF"/>
        </w:rPr>
        <w:t>Quadro 1.</w:t>
      </w:r>
      <w:r w:rsidRPr="001E7476">
        <w:rPr>
          <w:bCs/>
          <w:color w:val="000000" w:themeColor="text1"/>
          <w:szCs w:val="24"/>
          <w:shd w:val="clear" w:color="auto" w:fill="FFFFFF"/>
        </w:rPr>
        <w:t xml:space="preserve"> Classificação de produtos agrícolas, de acordo com a importância do comércio exterior na produção brasileira</w:t>
      </w:r>
      <w:r w:rsidR="00C45B7F">
        <w:rPr>
          <w:bCs/>
          <w:color w:val="000000" w:themeColor="text1"/>
          <w:szCs w:val="24"/>
          <w:shd w:val="clear" w:color="auto" w:fill="FFFFFF"/>
        </w:rPr>
        <w:t>, de 1997 a 2019</w:t>
      </w:r>
      <w:r w:rsidRPr="001E7476">
        <w:rPr>
          <w:bCs/>
          <w:color w:val="000000" w:themeColor="text1"/>
          <w:szCs w:val="24"/>
          <w:shd w:val="clear" w:color="auto" w:fill="FFFFFF"/>
        </w:rPr>
        <w:t>. </w:t>
      </w:r>
    </w:p>
    <w:tbl>
      <w:tblPr>
        <w:tblW w:w="906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44"/>
        <w:gridCol w:w="6520"/>
      </w:tblGrid>
      <w:tr w:rsidR="00E94832" w:rsidRPr="001E7476" w14:paraId="5307976D" w14:textId="77777777" w:rsidTr="00E94832">
        <w:trPr>
          <w:trHeight w:val="515"/>
        </w:trPr>
        <w:tc>
          <w:tcPr>
            <w:tcW w:w="2544" w:type="dxa"/>
            <w:tcBorders>
              <w:top w:val="single" w:sz="6" w:space="0" w:color="auto"/>
              <w:left w:val="single" w:sz="6" w:space="0" w:color="000000"/>
              <w:bottom w:val="single" w:sz="6" w:space="0" w:color="auto"/>
              <w:right w:val="single" w:sz="6" w:space="0" w:color="000000"/>
            </w:tcBorders>
            <w:shd w:val="clear" w:color="auto" w:fill="auto"/>
            <w:vAlign w:val="center"/>
            <w:hideMark/>
          </w:tcPr>
          <w:p w14:paraId="5F60D07F" w14:textId="77777777" w:rsidR="00E94832" w:rsidRPr="001E7476" w:rsidRDefault="00E94832" w:rsidP="001E7476">
            <w:pPr>
              <w:spacing w:after="0" w:line="240" w:lineRule="auto"/>
              <w:jc w:val="center"/>
              <w:textAlignment w:val="baseline"/>
              <w:rPr>
                <w:rFonts w:ascii="Times New Roman" w:eastAsia="Times New Roman" w:hAnsi="Times New Roman" w:cs="Times New Roman"/>
                <w:bCs/>
                <w:color w:val="000000" w:themeColor="text1"/>
                <w:sz w:val="24"/>
                <w:szCs w:val="24"/>
                <w:shd w:val="clear" w:color="auto" w:fill="FFFFFF"/>
              </w:rPr>
            </w:pPr>
            <w:r w:rsidRPr="001E7476">
              <w:rPr>
                <w:rFonts w:ascii="Times New Roman" w:eastAsia="Times New Roman" w:hAnsi="Times New Roman" w:cs="Times New Roman"/>
                <w:bCs/>
                <w:color w:val="000000" w:themeColor="text1"/>
                <w:sz w:val="24"/>
                <w:szCs w:val="24"/>
                <w:shd w:val="clear" w:color="auto" w:fill="FFFFFF"/>
              </w:rPr>
              <w:t>Grupo</w:t>
            </w:r>
          </w:p>
        </w:tc>
        <w:tc>
          <w:tcPr>
            <w:tcW w:w="6520" w:type="dxa"/>
            <w:tcBorders>
              <w:top w:val="single" w:sz="6" w:space="0" w:color="auto"/>
              <w:left w:val="single" w:sz="6" w:space="0" w:color="000000"/>
              <w:bottom w:val="single" w:sz="6" w:space="0" w:color="auto"/>
              <w:right w:val="single" w:sz="6" w:space="0" w:color="000000"/>
            </w:tcBorders>
            <w:shd w:val="clear" w:color="auto" w:fill="auto"/>
            <w:vAlign w:val="center"/>
            <w:hideMark/>
          </w:tcPr>
          <w:p w14:paraId="202B8B27" w14:textId="77777777" w:rsidR="00E94832" w:rsidRPr="001E7476" w:rsidRDefault="00E94832" w:rsidP="001E7476">
            <w:pPr>
              <w:spacing w:after="0" w:line="240" w:lineRule="auto"/>
              <w:jc w:val="center"/>
              <w:textAlignment w:val="baseline"/>
              <w:rPr>
                <w:rFonts w:ascii="Times New Roman" w:eastAsia="Times New Roman" w:hAnsi="Times New Roman" w:cs="Times New Roman"/>
                <w:bCs/>
                <w:color w:val="000000" w:themeColor="text1"/>
                <w:sz w:val="24"/>
                <w:szCs w:val="24"/>
                <w:shd w:val="clear" w:color="auto" w:fill="FFFFFF"/>
              </w:rPr>
            </w:pPr>
            <w:r w:rsidRPr="001E7476">
              <w:rPr>
                <w:rFonts w:ascii="Times New Roman" w:eastAsia="Times New Roman" w:hAnsi="Times New Roman" w:cs="Times New Roman"/>
                <w:bCs/>
                <w:color w:val="000000" w:themeColor="text1"/>
                <w:sz w:val="24"/>
                <w:szCs w:val="24"/>
                <w:shd w:val="clear" w:color="auto" w:fill="FFFFFF"/>
              </w:rPr>
              <w:t>Características</w:t>
            </w:r>
          </w:p>
        </w:tc>
      </w:tr>
      <w:tr w:rsidR="00E94832" w:rsidRPr="001E7476" w14:paraId="16CA7D8F" w14:textId="77777777" w:rsidTr="00E94832">
        <w:trPr>
          <w:trHeight w:val="757"/>
        </w:trPr>
        <w:tc>
          <w:tcPr>
            <w:tcW w:w="2544" w:type="dxa"/>
            <w:tcBorders>
              <w:top w:val="single" w:sz="6" w:space="0" w:color="auto"/>
              <w:left w:val="single" w:sz="6" w:space="0" w:color="000000"/>
              <w:bottom w:val="single" w:sz="6" w:space="0" w:color="auto"/>
              <w:right w:val="single" w:sz="6" w:space="0" w:color="000000"/>
            </w:tcBorders>
            <w:shd w:val="clear" w:color="auto" w:fill="auto"/>
            <w:vAlign w:val="center"/>
            <w:hideMark/>
          </w:tcPr>
          <w:p w14:paraId="6549099C" w14:textId="77777777" w:rsidR="00E94832" w:rsidRPr="001E7476" w:rsidRDefault="00E94832" w:rsidP="001E7476">
            <w:pPr>
              <w:spacing w:after="0" w:line="240" w:lineRule="auto"/>
              <w:jc w:val="center"/>
              <w:textAlignment w:val="baseline"/>
              <w:rPr>
                <w:rFonts w:ascii="Times New Roman" w:eastAsia="Times New Roman" w:hAnsi="Times New Roman" w:cs="Times New Roman"/>
                <w:bCs/>
                <w:color w:val="000000" w:themeColor="text1"/>
                <w:sz w:val="24"/>
                <w:szCs w:val="24"/>
                <w:shd w:val="clear" w:color="auto" w:fill="FFFFFF"/>
              </w:rPr>
            </w:pPr>
            <w:r w:rsidRPr="001E7476">
              <w:rPr>
                <w:rFonts w:ascii="Times New Roman" w:eastAsia="Times New Roman" w:hAnsi="Times New Roman" w:cs="Times New Roman"/>
                <w:bCs/>
                <w:color w:val="000000" w:themeColor="text1"/>
                <w:sz w:val="24"/>
                <w:szCs w:val="24"/>
                <w:shd w:val="clear" w:color="auto" w:fill="FFFFFF"/>
              </w:rPr>
              <w:t>Comercializáveis </w:t>
            </w:r>
          </w:p>
        </w:tc>
        <w:tc>
          <w:tcPr>
            <w:tcW w:w="6520" w:type="dxa"/>
            <w:tcBorders>
              <w:top w:val="single" w:sz="6" w:space="0" w:color="auto"/>
              <w:left w:val="single" w:sz="6" w:space="0" w:color="000000"/>
              <w:bottom w:val="single" w:sz="6" w:space="0" w:color="auto"/>
              <w:right w:val="single" w:sz="6" w:space="0" w:color="000000"/>
            </w:tcBorders>
            <w:shd w:val="clear" w:color="auto" w:fill="auto"/>
            <w:vAlign w:val="center"/>
            <w:hideMark/>
          </w:tcPr>
          <w:p w14:paraId="3E029DC8" w14:textId="77777777" w:rsidR="00E94832" w:rsidRPr="001E7476" w:rsidRDefault="00E94832" w:rsidP="001E7476">
            <w:pPr>
              <w:spacing w:after="0" w:line="240" w:lineRule="auto"/>
              <w:jc w:val="center"/>
              <w:textAlignment w:val="baseline"/>
              <w:rPr>
                <w:rFonts w:ascii="Times New Roman" w:eastAsia="Times New Roman" w:hAnsi="Times New Roman" w:cs="Times New Roman"/>
                <w:bCs/>
                <w:color w:val="000000" w:themeColor="text1"/>
                <w:sz w:val="24"/>
                <w:szCs w:val="24"/>
                <w:shd w:val="clear" w:color="auto" w:fill="FFFFFF"/>
              </w:rPr>
            </w:pPr>
            <w:r w:rsidRPr="001E7476">
              <w:rPr>
                <w:rFonts w:ascii="Times New Roman" w:eastAsia="Times New Roman" w:hAnsi="Times New Roman" w:cs="Times New Roman"/>
                <w:bCs/>
                <w:color w:val="000000" w:themeColor="text1"/>
                <w:sz w:val="24"/>
                <w:szCs w:val="24"/>
                <w:shd w:val="clear" w:color="auto" w:fill="FFFFFF"/>
              </w:rPr>
              <w:t>Quantidade exportada ou importada acima de 10% da produção nacional</w:t>
            </w:r>
          </w:p>
        </w:tc>
      </w:tr>
      <w:tr w:rsidR="00E94832" w:rsidRPr="001E7476" w14:paraId="217D0A50" w14:textId="77777777" w:rsidTr="00E94832">
        <w:trPr>
          <w:trHeight w:val="556"/>
        </w:trPr>
        <w:tc>
          <w:tcPr>
            <w:tcW w:w="2544" w:type="dxa"/>
            <w:tcBorders>
              <w:top w:val="single" w:sz="6" w:space="0" w:color="auto"/>
              <w:left w:val="single" w:sz="6" w:space="0" w:color="000000"/>
              <w:bottom w:val="single" w:sz="6" w:space="0" w:color="auto"/>
              <w:right w:val="single" w:sz="6" w:space="0" w:color="000000"/>
            </w:tcBorders>
            <w:shd w:val="clear" w:color="auto" w:fill="auto"/>
            <w:vAlign w:val="center"/>
            <w:hideMark/>
          </w:tcPr>
          <w:p w14:paraId="713FA313" w14:textId="77777777" w:rsidR="00E94832" w:rsidRPr="001E7476" w:rsidRDefault="00E94832" w:rsidP="001E7476">
            <w:pPr>
              <w:spacing w:after="0" w:line="240" w:lineRule="auto"/>
              <w:jc w:val="center"/>
              <w:textAlignment w:val="baseline"/>
              <w:rPr>
                <w:rFonts w:ascii="Times New Roman" w:eastAsia="Times New Roman" w:hAnsi="Times New Roman" w:cs="Times New Roman"/>
                <w:bCs/>
                <w:color w:val="000000" w:themeColor="text1"/>
                <w:sz w:val="24"/>
                <w:szCs w:val="24"/>
                <w:shd w:val="clear" w:color="auto" w:fill="FFFFFF"/>
              </w:rPr>
            </w:pPr>
            <w:r w:rsidRPr="001E7476">
              <w:rPr>
                <w:rFonts w:ascii="Times New Roman" w:eastAsia="Times New Roman" w:hAnsi="Times New Roman" w:cs="Times New Roman"/>
                <w:bCs/>
                <w:color w:val="000000" w:themeColor="text1"/>
                <w:sz w:val="24"/>
                <w:szCs w:val="24"/>
                <w:shd w:val="clear" w:color="auto" w:fill="FFFFFF"/>
              </w:rPr>
              <w:t>Medianamente comercializáveis </w:t>
            </w:r>
          </w:p>
        </w:tc>
        <w:tc>
          <w:tcPr>
            <w:tcW w:w="6520" w:type="dxa"/>
            <w:tcBorders>
              <w:top w:val="single" w:sz="6" w:space="0" w:color="auto"/>
              <w:left w:val="single" w:sz="6" w:space="0" w:color="000000"/>
              <w:bottom w:val="single" w:sz="6" w:space="0" w:color="auto"/>
              <w:right w:val="single" w:sz="6" w:space="0" w:color="000000"/>
            </w:tcBorders>
            <w:shd w:val="clear" w:color="auto" w:fill="auto"/>
            <w:vAlign w:val="center"/>
            <w:hideMark/>
          </w:tcPr>
          <w:p w14:paraId="315FFEB9" w14:textId="77777777" w:rsidR="00E94832" w:rsidRPr="001E7476" w:rsidRDefault="00E94832" w:rsidP="001E7476">
            <w:pPr>
              <w:spacing w:after="0" w:line="240" w:lineRule="auto"/>
              <w:jc w:val="center"/>
              <w:textAlignment w:val="baseline"/>
              <w:rPr>
                <w:rFonts w:ascii="Times New Roman" w:eastAsia="Times New Roman" w:hAnsi="Times New Roman" w:cs="Times New Roman"/>
                <w:bCs/>
                <w:color w:val="000000" w:themeColor="text1"/>
                <w:sz w:val="24"/>
                <w:szCs w:val="24"/>
                <w:shd w:val="clear" w:color="auto" w:fill="FFFFFF"/>
              </w:rPr>
            </w:pPr>
            <w:r w:rsidRPr="001E7476">
              <w:rPr>
                <w:rFonts w:ascii="Times New Roman" w:eastAsia="Times New Roman" w:hAnsi="Times New Roman" w:cs="Times New Roman"/>
                <w:bCs/>
                <w:color w:val="000000" w:themeColor="text1"/>
                <w:sz w:val="24"/>
                <w:szCs w:val="24"/>
                <w:shd w:val="clear" w:color="auto" w:fill="FFFFFF"/>
              </w:rPr>
              <w:t>Quantidade exportada ou importada entre 3% e 10% da produção nacional</w:t>
            </w:r>
          </w:p>
        </w:tc>
      </w:tr>
      <w:tr w:rsidR="00E94832" w:rsidRPr="001E7476" w14:paraId="2AE9A9F5" w14:textId="77777777" w:rsidTr="00E94832">
        <w:trPr>
          <w:trHeight w:val="692"/>
        </w:trPr>
        <w:tc>
          <w:tcPr>
            <w:tcW w:w="2544" w:type="dxa"/>
            <w:tcBorders>
              <w:top w:val="single" w:sz="6" w:space="0" w:color="auto"/>
              <w:left w:val="single" w:sz="6" w:space="0" w:color="000000"/>
              <w:bottom w:val="single" w:sz="6" w:space="0" w:color="auto"/>
              <w:right w:val="single" w:sz="6" w:space="0" w:color="000000"/>
            </w:tcBorders>
            <w:shd w:val="clear" w:color="auto" w:fill="auto"/>
            <w:vAlign w:val="center"/>
            <w:hideMark/>
          </w:tcPr>
          <w:p w14:paraId="55015EFA" w14:textId="77777777" w:rsidR="00E94832" w:rsidRPr="001E7476" w:rsidRDefault="00E94832" w:rsidP="001E7476">
            <w:pPr>
              <w:spacing w:after="0" w:line="240" w:lineRule="auto"/>
              <w:jc w:val="center"/>
              <w:textAlignment w:val="baseline"/>
              <w:rPr>
                <w:rFonts w:ascii="Times New Roman" w:eastAsia="Times New Roman" w:hAnsi="Times New Roman" w:cs="Times New Roman"/>
                <w:bCs/>
                <w:color w:val="000000" w:themeColor="text1"/>
                <w:sz w:val="24"/>
                <w:szCs w:val="24"/>
                <w:shd w:val="clear" w:color="auto" w:fill="FFFFFF"/>
              </w:rPr>
            </w:pPr>
            <w:r w:rsidRPr="001E7476">
              <w:rPr>
                <w:rFonts w:ascii="Times New Roman" w:eastAsia="Times New Roman" w:hAnsi="Times New Roman" w:cs="Times New Roman"/>
                <w:bCs/>
                <w:color w:val="000000" w:themeColor="text1"/>
                <w:sz w:val="24"/>
                <w:szCs w:val="24"/>
                <w:shd w:val="clear" w:color="auto" w:fill="FFFFFF"/>
              </w:rPr>
              <w:t>Não comercializáveis </w:t>
            </w:r>
          </w:p>
        </w:tc>
        <w:tc>
          <w:tcPr>
            <w:tcW w:w="6520" w:type="dxa"/>
            <w:tcBorders>
              <w:top w:val="single" w:sz="6" w:space="0" w:color="auto"/>
              <w:left w:val="single" w:sz="6" w:space="0" w:color="000000"/>
              <w:bottom w:val="single" w:sz="6" w:space="0" w:color="auto"/>
              <w:right w:val="single" w:sz="6" w:space="0" w:color="000000"/>
            </w:tcBorders>
            <w:shd w:val="clear" w:color="auto" w:fill="auto"/>
            <w:vAlign w:val="center"/>
            <w:hideMark/>
          </w:tcPr>
          <w:p w14:paraId="30A57456" w14:textId="77777777" w:rsidR="00E94832" w:rsidRPr="001E7476" w:rsidRDefault="00E94832" w:rsidP="001E7476">
            <w:pPr>
              <w:spacing w:after="0" w:line="240" w:lineRule="auto"/>
              <w:jc w:val="center"/>
              <w:textAlignment w:val="baseline"/>
              <w:rPr>
                <w:rFonts w:ascii="Times New Roman" w:eastAsia="Times New Roman" w:hAnsi="Times New Roman" w:cs="Times New Roman"/>
                <w:bCs/>
                <w:color w:val="000000" w:themeColor="text1"/>
                <w:sz w:val="24"/>
                <w:szCs w:val="24"/>
                <w:shd w:val="clear" w:color="auto" w:fill="FFFFFF"/>
              </w:rPr>
            </w:pPr>
            <w:r w:rsidRPr="001E7476">
              <w:rPr>
                <w:rFonts w:ascii="Times New Roman" w:eastAsia="Times New Roman" w:hAnsi="Times New Roman" w:cs="Times New Roman"/>
                <w:bCs/>
                <w:color w:val="000000" w:themeColor="text1"/>
                <w:sz w:val="24"/>
                <w:szCs w:val="24"/>
                <w:shd w:val="clear" w:color="auto" w:fill="FFFFFF"/>
              </w:rPr>
              <w:t>Quantidade exportada e importada abaixo de 3% da produção nacional</w:t>
            </w:r>
          </w:p>
        </w:tc>
      </w:tr>
    </w:tbl>
    <w:p w14:paraId="6129DE9D" w14:textId="27D6E40D" w:rsidR="001E7476" w:rsidRDefault="001E7476" w:rsidP="001E7476">
      <w:pPr>
        <w:spacing w:after="0" w:line="240" w:lineRule="auto"/>
        <w:jc w:val="both"/>
        <w:textAlignment w:val="baseline"/>
        <w:rPr>
          <w:rFonts w:ascii="Times New Roman" w:eastAsia="Times New Roman" w:hAnsi="Times New Roman" w:cs="Times New Roman"/>
          <w:bCs/>
          <w:color w:val="000000" w:themeColor="text1"/>
          <w:sz w:val="24"/>
          <w:szCs w:val="24"/>
          <w:shd w:val="clear" w:color="auto" w:fill="FFFFFF"/>
        </w:rPr>
      </w:pPr>
      <w:r w:rsidRPr="008B1EDC">
        <w:rPr>
          <w:rFonts w:ascii="Times New Roman" w:eastAsia="Times New Roman" w:hAnsi="Times New Roman" w:cs="Times New Roman"/>
          <w:b/>
          <w:color w:val="000000" w:themeColor="text1"/>
          <w:sz w:val="24"/>
          <w:szCs w:val="24"/>
          <w:shd w:val="clear" w:color="auto" w:fill="FFFFFF"/>
        </w:rPr>
        <w:t>Fonte:</w:t>
      </w:r>
      <w:r w:rsidRPr="008B1EDC">
        <w:rPr>
          <w:rFonts w:ascii="Times New Roman" w:eastAsia="Times New Roman" w:hAnsi="Times New Roman" w:cs="Times New Roman"/>
          <w:bCs/>
          <w:color w:val="000000" w:themeColor="text1"/>
          <w:sz w:val="24"/>
          <w:szCs w:val="24"/>
          <w:shd w:val="clear" w:color="auto" w:fill="FFFFFF"/>
        </w:rPr>
        <w:t xml:space="preserve"> Adaptado pelos autores com base em IPEA (2011).</w:t>
      </w:r>
    </w:p>
    <w:p w14:paraId="352AD15D" w14:textId="77777777" w:rsidR="001E7476" w:rsidRPr="007B17E3" w:rsidRDefault="001E7476" w:rsidP="001E7476">
      <w:pPr>
        <w:pStyle w:val="NormalWeb"/>
        <w:shd w:val="clear" w:color="auto" w:fill="FFFFFF"/>
        <w:spacing w:before="0" w:after="0"/>
        <w:jc w:val="both"/>
        <w:textAlignment w:val="baseline"/>
        <w:rPr>
          <w:b/>
          <w:bCs/>
          <w:color w:val="000000" w:themeColor="text1"/>
          <w:szCs w:val="24"/>
          <w:shd w:val="clear" w:color="auto" w:fill="FFFFFF"/>
        </w:rPr>
      </w:pPr>
      <w:r w:rsidRPr="00BC5CB1">
        <w:rPr>
          <w:b/>
          <w:bCs/>
          <w:color w:val="000000" w:themeColor="text1"/>
          <w:szCs w:val="24"/>
          <w:shd w:val="clear" w:color="auto" w:fill="FFFFFF"/>
        </w:rPr>
        <w:t>3.4. Estatísticas Utilizadas</w:t>
      </w:r>
    </w:p>
    <w:p w14:paraId="46AEA9F6" w14:textId="77777777" w:rsidR="001E7476" w:rsidRDefault="001E7476" w:rsidP="001E7476">
      <w:pPr>
        <w:pStyle w:val="NormalWeb"/>
        <w:shd w:val="clear" w:color="auto" w:fill="FFFFFF"/>
        <w:spacing w:before="0" w:after="0"/>
        <w:ind w:firstLine="708"/>
        <w:jc w:val="both"/>
        <w:textAlignment w:val="baseline"/>
        <w:rPr>
          <w:bCs/>
          <w:color w:val="000000" w:themeColor="text1"/>
          <w:szCs w:val="24"/>
          <w:shd w:val="clear" w:color="auto" w:fill="FFFFFF"/>
        </w:rPr>
      </w:pPr>
      <w:r w:rsidRPr="007B17E3">
        <w:rPr>
          <w:bCs/>
          <w:color w:val="000000" w:themeColor="text1"/>
          <w:szCs w:val="24"/>
          <w:shd w:val="clear" w:color="auto" w:fill="FFFFFF"/>
        </w:rPr>
        <w:t>Foram u</w:t>
      </w:r>
      <w:r>
        <w:rPr>
          <w:bCs/>
          <w:color w:val="000000" w:themeColor="text1"/>
          <w:szCs w:val="24"/>
          <w:shd w:val="clear" w:color="auto" w:fill="FFFFFF"/>
        </w:rPr>
        <w:t>sadas</w:t>
      </w:r>
      <w:r w:rsidRPr="007B17E3">
        <w:rPr>
          <w:bCs/>
          <w:color w:val="000000" w:themeColor="text1"/>
          <w:szCs w:val="24"/>
          <w:shd w:val="clear" w:color="auto" w:fill="FFFFFF"/>
        </w:rPr>
        <w:t xml:space="preserve"> estatísticas descritivas básicas para cada cadeia. Os valores das variáveis apresentadas correspondem a médias aritméticas simples</w:t>
      </w:r>
      <w:r>
        <w:rPr>
          <w:bCs/>
          <w:color w:val="000000" w:themeColor="text1"/>
          <w:szCs w:val="24"/>
          <w:shd w:val="clear" w:color="auto" w:fill="FFFFFF"/>
        </w:rPr>
        <w:t>,</w:t>
      </w:r>
      <w:r w:rsidRPr="007B17E3">
        <w:rPr>
          <w:bCs/>
          <w:color w:val="000000" w:themeColor="text1"/>
          <w:szCs w:val="24"/>
          <w:shd w:val="clear" w:color="auto" w:fill="FFFFFF"/>
        </w:rPr>
        <w:t xml:space="preserve"> entre 2007 e 20</w:t>
      </w:r>
      <w:r>
        <w:rPr>
          <w:bCs/>
          <w:color w:val="000000" w:themeColor="text1"/>
          <w:szCs w:val="24"/>
          <w:shd w:val="clear" w:color="auto" w:fill="FFFFFF"/>
        </w:rPr>
        <w:t>21</w:t>
      </w:r>
      <w:r w:rsidRPr="007B17E3">
        <w:rPr>
          <w:bCs/>
          <w:color w:val="000000" w:themeColor="text1"/>
          <w:szCs w:val="24"/>
          <w:shd w:val="clear" w:color="auto" w:fill="FFFFFF"/>
        </w:rPr>
        <w:t xml:space="preserve">, à exceção da variação de preços, que considerou a contribuição de cada subitem no consumo, </w:t>
      </w:r>
      <w:r w:rsidRPr="007B17E3">
        <w:rPr>
          <w:bCs/>
          <w:szCs w:val="24"/>
          <w:shd w:val="clear" w:color="auto" w:fill="FFFFFF"/>
        </w:rPr>
        <w:t>por meio d</w:t>
      </w:r>
      <w:r w:rsidRPr="007B17E3">
        <w:rPr>
          <w:bCs/>
          <w:color w:val="000000" w:themeColor="text1"/>
          <w:szCs w:val="24"/>
          <w:shd w:val="clear" w:color="auto" w:fill="FFFFFF"/>
        </w:rPr>
        <w:t>e uma média ponderada, considerando sua participação no gasto do consumidor.</w:t>
      </w:r>
    </w:p>
    <w:p w14:paraId="35BB1FA7" w14:textId="77777777" w:rsidR="001E7476" w:rsidRDefault="001E7476" w:rsidP="001E7476">
      <w:pPr>
        <w:pStyle w:val="NormalWeb"/>
        <w:shd w:val="clear" w:color="auto" w:fill="FFFFFF"/>
        <w:spacing w:before="0" w:after="0"/>
        <w:ind w:firstLine="708"/>
        <w:jc w:val="both"/>
        <w:textAlignment w:val="baseline"/>
        <w:rPr>
          <w:bCs/>
          <w:color w:val="000000" w:themeColor="text1"/>
          <w:szCs w:val="24"/>
          <w:shd w:val="clear" w:color="auto" w:fill="FFFFFF"/>
        </w:rPr>
      </w:pPr>
      <w:r>
        <w:rPr>
          <w:bCs/>
          <w:color w:val="000000" w:themeColor="text1"/>
          <w:szCs w:val="24"/>
          <w:shd w:val="clear" w:color="auto" w:fill="FFFFFF"/>
        </w:rPr>
        <w:t xml:space="preserve">Adicionalmente, realizou-se análise de regressão linear simples dos valores de disponibilidade interna </w:t>
      </w:r>
      <w:r w:rsidRPr="00C35505">
        <w:rPr>
          <w:bCs/>
          <w:i/>
          <w:iCs/>
          <w:color w:val="000000" w:themeColor="text1"/>
          <w:szCs w:val="24"/>
          <w:shd w:val="clear" w:color="auto" w:fill="FFFFFF"/>
        </w:rPr>
        <w:t>per capita</w:t>
      </w:r>
      <w:r>
        <w:rPr>
          <w:bCs/>
          <w:color w:val="000000" w:themeColor="text1"/>
          <w:szCs w:val="24"/>
          <w:shd w:val="clear" w:color="auto" w:fill="FFFFFF"/>
        </w:rPr>
        <w:t xml:space="preserve"> para cada cadeia, a fim de verificar a tendência das séries. A qualidade do ajuste foi baseada no coeficiente de determinação (R²); a significância estatística foi verificada a partir do p-valor da regressão aos níveis de 1%, 5% e 10% de significância; ademais, a tendência das séries foi analisada a partir do coeficiente angular da regressão, no qual valores positivos indicam tendência crescente e valores negativos, decrescente.</w:t>
      </w:r>
    </w:p>
    <w:p w14:paraId="66BA28FA" w14:textId="77777777" w:rsidR="001E7476" w:rsidRDefault="001E7476" w:rsidP="00B90028">
      <w:pPr>
        <w:spacing w:after="0" w:line="240" w:lineRule="auto"/>
        <w:jc w:val="both"/>
        <w:rPr>
          <w:rFonts w:ascii="Times New Roman" w:eastAsia="Times New Roman" w:hAnsi="Times New Roman" w:cs="Times New Roman"/>
          <w:sz w:val="24"/>
          <w:szCs w:val="24"/>
        </w:rPr>
      </w:pPr>
    </w:p>
    <w:p w14:paraId="0EC2DA76" w14:textId="45D71A5B" w:rsidR="001E7476" w:rsidRPr="007B17E3" w:rsidRDefault="001E7476" w:rsidP="001E7476">
      <w:pPr>
        <w:pStyle w:val="NormalWeb"/>
        <w:shd w:val="clear" w:color="auto" w:fill="FFFFFF"/>
        <w:spacing w:before="0" w:after="0"/>
        <w:jc w:val="both"/>
        <w:textAlignment w:val="baseline"/>
        <w:rPr>
          <w:b/>
          <w:bCs/>
          <w:color w:val="000000" w:themeColor="text1"/>
          <w:szCs w:val="24"/>
          <w:shd w:val="clear" w:color="auto" w:fill="FFFFFF"/>
        </w:rPr>
      </w:pPr>
      <w:r>
        <w:rPr>
          <w:b/>
          <w:bCs/>
          <w:color w:val="000000" w:themeColor="text1"/>
          <w:szCs w:val="24"/>
          <w:shd w:val="clear" w:color="auto" w:fill="FFFFFF"/>
        </w:rPr>
        <w:t>4</w:t>
      </w:r>
      <w:r w:rsidRPr="007B17E3">
        <w:rPr>
          <w:b/>
          <w:bCs/>
          <w:color w:val="000000" w:themeColor="text1"/>
          <w:szCs w:val="24"/>
          <w:shd w:val="clear" w:color="auto" w:fill="FFFFFF"/>
        </w:rPr>
        <w:t>. R</w:t>
      </w:r>
      <w:r w:rsidR="001546F3" w:rsidRPr="007B17E3">
        <w:rPr>
          <w:b/>
          <w:bCs/>
          <w:color w:val="000000" w:themeColor="text1"/>
          <w:szCs w:val="24"/>
          <w:shd w:val="clear" w:color="auto" w:fill="FFFFFF"/>
        </w:rPr>
        <w:t>esultados</w:t>
      </w:r>
    </w:p>
    <w:p w14:paraId="644399F6" w14:textId="77777777" w:rsidR="001E7476" w:rsidRPr="007B17E3" w:rsidRDefault="001E7476" w:rsidP="001E7476">
      <w:pPr>
        <w:pStyle w:val="NormalWeb"/>
        <w:shd w:val="clear" w:color="auto" w:fill="FFFFFF"/>
        <w:spacing w:before="0" w:after="0"/>
        <w:jc w:val="both"/>
        <w:textAlignment w:val="baseline"/>
        <w:rPr>
          <w:b/>
          <w:bCs/>
          <w:color w:val="000000" w:themeColor="text1"/>
          <w:szCs w:val="24"/>
          <w:shd w:val="clear" w:color="auto" w:fill="FFFFFF"/>
        </w:rPr>
      </w:pPr>
      <w:r>
        <w:rPr>
          <w:b/>
          <w:bCs/>
          <w:color w:val="000000" w:themeColor="text1"/>
          <w:szCs w:val="24"/>
          <w:shd w:val="clear" w:color="auto" w:fill="FFFFFF"/>
        </w:rPr>
        <w:t>4</w:t>
      </w:r>
      <w:r w:rsidRPr="007B17E3">
        <w:rPr>
          <w:b/>
          <w:bCs/>
          <w:color w:val="000000" w:themeColor="text1"/>
          <w:szCs w:val="24"/>
          <w:shd w:val="clear" w:color="auto" w:fill="FFFFFF"/>
        </w:rPr>
        <w:t>.1. Exposição Externa e Preços Internos</w:t>
      </w:r>
    </w:p>
    <w:p w14:paraId="10765BF2" w14:textId="7278B20F" w:rsidR="001E7476" w:rsidRDefault="001E7476" w:rsidP="001E7476">
      <w:pPr>
        <w:pStyle w:val="NormalWeb"/>
        <w:shd w:val="clear" w:color="auto" w:fill="FFFFFF"/>
        <w:spacing w:before="0" w:after="0"/>
        <w:ind w:firstLine="708"/>
        <w:jc w:val="both"/>
        <w:textAlignment w:val="baseline"/>
        <w:rPr>
          <w:bCs/>
          <w:color w:val="000000" w:themeColor="text1"/>
          <w:szCs w:val="24"/>
          <w:shd w:val="clear" w:color="auto" w:fill="FFFFFF"/>
        </w:rPr>
      </w:pPr>
      <w:r>
        <w:rPr>
          <w:bCs/>
          <w:color w:val="000000" w:themeColor="text1"/>
          <w:szCs w:val="24"/>
          <w:shd w:val="clear" w:color="auto" w:fill="FFFFFF"/>
        </w:rPr>
        <w:t>A T</w:t>
      </w:r>
      <w:r w:rsidRPr="007B17E3">
        <w:rPr>
          <w:bCs/>
          <w:color w:val="000000" w:themeColor="text1"/>
          <w:szCs w:val="24"/>
          <w:shd w:val="clear" w:color="auto" w:fill="FFFFFF"/>
        </w:rPr>
        <w:t xml:space="preserve">abela </w:t>
      </w:r>
      <w:r>
        <w:rPr>
          <w:bCs/>
          <w:color w:val="000000" w:themeColor="text1"/>
          <w:szCs w:val="24"/>
          <w:shd w:val="clear" w:color="auto" w:fill="FFFFFF"/>
        </w:rPr>
        <w:t>2</w:t>
      </w:r>
      <w:r w:rsidRPr="007B17E3">
        <w:rPr>
          <w:bCs/>
          <w:color w:val="000000" w:themeColor="text1"/>
          <w:szCs w:val="24"/>
          <w:shd w:val="clear" w:color="auto" w:fill="FFFFFF"/>
        </w:rPr>
        <w:t xml:space="preserve"> </w:t>
      </w:r>
      <w:r>
        <w:rPr>
          <w:bCs/>
          <w:color w:val="000000" w:themeColor="text1"/>
          <w:szCs w:val="24"/>
          <w:shd w:val="clear" w:color="auto" w:fill="FFFFFF"/>
        </w:rPr>
        <w:t xml:space="preserve">abrange o período 2007 a 2019, diferente das demais tabelas e gráficos da seção que se estendem até 2021. Nela </w:t>
      </w:r>
      <w:r w:rsidRPr="007B17E3">
        <w:rPr>
          <w:bCs/>
          <w:color w:val="000000" w:themeColor="text1"/>
          <w:szCs w:val="24"/>
          <w:shd w:val="clear" w:color="auto" w:fill="FFFFFF"/>
        </w:rPr>
        <w:t xml:space="preserve">são </w:t>
      </w:r>
      <w:r>
        <w:rPr>
          <w:bCs/>
          <w:color w:val="000000" w:themeColor="text1"/>
          <w:szCs w:val="24"/>
          <w:shd w:val="clear" w:color="auto" w:fill="FFFFFF"/>
        </w:rPr>
        <w:t xml:space="preserve">discriminadas as 19 cadeias de acordo com a importância do comércio externo. No grupo de comercializáveis foram classificadas 11 cadeias, oito com saldos comerciais positivos (exportáveis) e três, negativos (importáveis). As medianamente comercializáveis somaram 4 cadeias, mesmo número das não comercializáveis. Adicionalmente, registra-se a participação dos alimentos de cada cadeia nos gastos do consumidor com a alimentação no domicílio. Ela é maior nos comercializáveis, sob a influência maior do trigo, bovinocultura de corte e avicultura de corte. </w:t>
      </w:r>
      <w:r w:rsidR="00C45B7F">
        <w:rPr>
          <w:bCs/>
          <w:color w:val="000000" w:themeColor="text1"/>
          <w:szCs w:val="24"/>
          <w:shd w:val="clear" w:color="auto" w:fill="FFFFFF"/>
        </w:rPr>
        <w:t>A</w:t>
      </w:r>
      <w:r w:rsidR="00E94832">
        <w:rPr>
          <w:bCs/>
          <w:color w:val="000000" w:themeColor="text1"/>
          <w:szCs w:val="24"/>
          <w:shd w:val="clear" w:color="auto" w:fill="FFFFFF"/>
        </w:rPr>
        <w:t xml:space="preserve">s medianamente comercializáveis têm a segunda participação nos gastos do consumidor, sob forte influência da bovinocultura de leite, e </w:t>
      </w:r>
      <w:r w:rsidR="00C45B7F">
        <w:rPr>
          <w:bCs/>
          <w:color w:val="000000" w:themeColor="text1"/>
          <w:szCs w:val="24"/>
          <w:shd w:val="clear" w:color="auto" w:fill="FFFFFF"/>
        </w:rPr>
        <w:t>a</w:t>
      </w:r>
      <w:r w:rsidR="00E94832">
        <w:rPr>
          <w:bCs/>
          <w:color w:val="000000" w:themeColor="text1"/>
          <w:szCs w:val="24"/>
          <w:shd w:val="clear" w:color="auto" w:fill="FFFFFF"/>
        </w:rPr>
        <w:t>s não comercializáveis r</w:t>
      </w:r>
      <w:r w:rsidR="00C45B7F">
        <w:rPr>
          <w:bCs/>
          <w:color w:val="000000" w:themeColor="text1"/>
          <w:szCs w:val="24"/>
          <w:shd w:val="clear" w:color="auto" w:fill="FFFFFF"/>
        </w:rPr>
        <w:t>e</w:t>
      </w:r>
      <w:r w:rsidR="00E94832">
        <w:rPr>
          <w:bCs/>
          <w:color w:val="000000" w:themeColor="text1"/>
          <w:szCs w:val="24"/>
          <w:shd w:val="clear" w:color="auto" w:fill="FFFFFF"/>
        </w:rPr>
        <w:t>velam importância bem menor neste quesito.</w:t>
      </w:r>
    </w:p>
    <w:p w14:paraId="1B53D7F9" w14:textId="04C82208" w:rsidR="00132487" w:rsidRDefault="00132487" w:rsidP="001E7476">
      <w:pPr>
        <w:pStyle w:val="NormalWeb"/>
        <w:shd w:val="clear" w:color="auto" w:fill="FFFFFF"/>
        <w:spacing w:before="0" w:after="0"/>
        <w:ind w:firstLine="708"/>
        <w:jc w:val="both"/>
        <w:textAlignment w:val="baseline"/>
        <w:rPr>
          <w:bCs/>
          <w:color w:val="000000" w:themeColor="text1"/>
          <w:szCs w:val="24"/>
          <w:shd w:val="clear" w:color="auto" w:fill="FFFFFF"/>
        </w:rPr>
      </w:pPr>
      <w:r>
        <w:rPr>
          <w:bCs/>
          <w:color w:val="000000" w:themeColor="text1"/>
          <w:szCs w:val="24"/>
          <w:shd w:val="clear" w:color="auto" w:fill="FFFFFF"/>
        </w:rPr>
        <w:t>Para efeitos comparativos com os dados da Tabela 3,</w:t>
      </w:r>
      <w:r w:rsidRPr="007B17E3">
        <w:rPr>
          <w:bCs/>
          <w:color w:val="000000" w:themeColor="text1"/>
          <w:szCs w:val="24"/>
          <w:shd w:val="clear" w:color="auto" w:fill="FFFFFF"/>
        </w:rPr>
        <w:t xml:space="preserve"> registra-se que, entre 2007 e 2019, o </w:t>
      </w:r>
      <w:r>
        <w:rPr>
          <w:bCs/>
          <w:color w:val="000000" w:themeColor="text1"/>
          <w:szCs w:val="24"/>
          <w:shd w:val="clear" w:color="auto" w:fill="FFFFFF"/>
        </w:rPr>
        <w:t xml:space="preserve">IPCA variou 103,5% e o </w:t>
      </w:r>
      <w:r w:rsidRPr="007B17E3">
        <w:rPr>
          <w:bCs/>
          <w:color w:val="000000" w:themeColor="text1"/>
          <w:szCs w:val="24"/>
          <w:shd w:val="clear" w:color="auto" w:fill="FFFFFF"/>
        </w:rPr>
        <w:t>IPAB</w:t>
      </w:r>
      <w:r>
        <w:rPr>
          <w:bCs/>
          <w:color w:val="000000" w:themeColor="text1"/>
          <w:szCs w:val="24"/>
          <w:shd w:val="clear" w:color="auto" w:fill="FFFFFF"/>
        </w:rPr>
        <w:t>,</w:t>
      </w:r>
      <w:r w:rsidRPr="007B17E3">
        <w:rPr>
          <w:bCs/>
          <w:color w:val="000000" w:themeColor="text1"/>
          <w:szCs w:val="24"/>
          <w:shd w:val="clear" w:color="auto" w:fill="FFFFFF"/>
        </w:rPr>
        <w:t xml:space="preserve"> 155,</w:t>
      </w:r>
      <w:r>
        <w:rPr>
          <w:bCs/>
          <w:color w:val="000000" w:themeColor="text1"/>
          <w:szCs w:val="24"/>
          <w:shd w:val="clear" w:color="auto" w:fill="FFFFFF"/>
        </w:rPr>
        <w:t>7</w:t>
      </w:r>
      <w:r w:rsidRPr="007B17E3">
        <w:rPr>
          <w:bCs/>
          <w:color w:val="000000" w:themeColor="text1"/>
          <w:szCs w:val="24"/>
          <w:shd w:val="clear" w:color="auto" w:fill="FFFFFF"/>
        </w:rPr>
        <w:t>%, enquanto um de seus subgrupos, a Inflação da Alimentação no Domicílio (IPAD), variou 146,</w:t>
      </w:r>
      <w:r>
        <w:rPr>
          <w:bCs/>
          <w:color w:val="000000" w:themeColor="text1"/>
          <w:szCs w:val="24"/>
          <w:shd w:val="clear" w:color="auto" w:fill="FFFFFF"/>
        </w:rPr>
        <w:t>1</w:t>
      </w:r>
      <w:r w:rsidRPr="007B17E3">
        <w:rPr>
          <w:bCs/>
          <w:color w:val="000000" w:themeColor="text1"/>
          <w:szCs w:val="24"/>
          <w:shd w:val="clear" w:color="auto" w:fill="FFFFFF"/>
        </w:rPr>
        <w:t>%</w:t>
      </w:r>
      <w:r>
        <w:rPr>
          <w:bCs/>
          <w:color w:val="000000" w:themeColor="text1"/>
          <w:szCs w:val="24"/>
          <w:shd w:val="clear" w:color="auto" w:fill="FFFFFF"/>
        </w:rPr>
        <w:t xml:space="preserve"> e o da Alimentação Fora do Domicílio (IPAF), 177,4%</w:t>
      </w:r>
      <w:r w:rsidRPr="007B17E3">
        <w:rPr>
          <w:bCs/>
          <w:color w:val="000000" w:themeColor="text1"/>
          <w:szCs w:val="24"/>
          <w:shd w:val="clear" w:color="auto" w:fill="FFFFFF"/>
        </w:rPr>
        <w:t>.</w:t>
      </w:r>
      <w:r>
        <w:rPr>
          <w:bCs/>
          <w:color w:val="000000" w:themeColor="text1"/>
          <w:szCs w:val="24"/>
          <w:shd w:val="clear" w:color="auto" w:fill="FFFFFF"/>
        </w:rPr>
        <w:t xml:space="preserve"> Nos dois anos da pandemia da covid-19, 2020 e 2021, estas variações foram, </w:t>
      </w:r>
      <w:r>
        <w:rPr>
          <w:bCs/>
          <w:color w:val="000000" w:themeColor="text1"/>
          <w:szCs w:val="24"/>
          <w:shd w:val="clear" w:color="auto" w:fill="FFFFFF"/>
        </w:rPr>
        <w:lastRenderedPageBreak/>
        <w:t>respectivamente, 15,0%, 23,2%, 27,9% e 12,3%. As restrições ao deslocamento das pessoas na pandemia é uma das explicações para que, no segundo período, o aumento de preços da alimentação fora do domicílio fosse menor do que o da alimentação no domicílio, ao contrário do que acontecia até 2019. Mesmo assim, o IPAB se mostrou superior ao IPCA antes e durante a pandemia.</w:t>
      </w:r>
    </w:p>
    <w:p w14:paraId="27B203C5" w14:textId="77777777" w:rsidR="001E7476" w:rsidRPr="001E7476" w:rsidRDefault="001E7476" w:rsidP="001E7476">
      <w:pPr>
        <w:spacing w:after="0" w:line="240" w:lineRule="auto"/>
        <w:jc w:val="both"/>
        <w:rPr>
          <w:rFonts w:ascii="Times New Roman" w:eastAsia="Times New Roman" w:hAnsi="Times New Roman" w:cs="Times New Roman"/>
          <w:bCs/>
          <w:color w:val="000000" w:themeColor="text1"/>
          <w:sz w:val="24"/>
          <w:szCs w:val="24"/>
          <w:shd w:val="clear" w:color="auto" w:fill="FFFFFF"/>
        </w:rPr>
      </w:pPr>
      <w:r w:rsidRPr="001E7476">
        <w:rPr>
          <w:rFonts w:ascii="Times New Roman" w:eastAsia="Times New Roman" w:hAnsi="Times New Roman" w:cs="Times New Roman"/>
          <w:b/>
          <w:color w:val="000000" w:themeColor="text1"/>
          <w:sz w:val="24"/>
          <w:szCs w:val="24"/>
          <w:shd w:val="clear" w:color="auto" w:fill="FFFFFF"/>
        </w:rPr>
        <w:t>Tabela 2.</w:t>
      </w:r>
      <w:r w:rsidRPr="001E7476">
        <w:rPr>
          <w:rFonts w:ascii="Times New Roman" w:eastAsia="Times New Roman" w:hAnsi="Times New Roman" w:cs="Times New Roman"/>
          <w:bCs/>
          <w:color w:val="000000" w:themeColor="text1"/>
          <w:sz w:val="24"/>
          <w:szCs w:val="24"/>
          <w:shd w:val="clear" w:color="auto" w:fill="FFFFFF"/>
        </w:rPr>
        <w:t xml:space="preserve"> Importância de fluxos comerciais na produção de cadeias agroalimentares e participação das cadeias no IPAD, Brasil, 2007 a 2019.</w:t>
      </w:r>
    </w:p>
    <w:tbl>
      <w:tblPr>
        <w:tblStyle w:val="Tabelacomgrade"/>
        <w:tblW w:w="9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606"/>
        <w:gridCol w:w="1607"/>
        <w:gridCol w:w="1607"/>
        <w:gridCol w:w="1318"/>
      </w:tblGrid>
      <w:tr w:rsidR="001E7476" w:rsidRPr="001E7476" w14:paraId="661D4302" w14:textId="77777777" w:rsidTr="00BF579B">
        <w:tc>
          <w:tcPr>
            <w:tcW w:w="2977" w:type="dxa"/>
            <w:tcBorders>
              <w:top w:val="single" w:sz="4" w:space="0" w:color="auto"/>
              <w:bottom w:val="single" w:sz="4" w:space="0" w:color="auto"/>
            </w:tcBorders>
          </w:tcPr>
          <w:p w14:paraId="73476086"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Cadeia</w:t>
            </w:r>
          </w:p>
        </w:tc>
        <w:tc>
          <w:tcPr>
            <w:tcW w:w="1606" w:type="dxa"/>
            <w:tcBorders>
              <w:top w:val="single" w:sz="4" w:space="0" w:color="auto"/>
              <w:bottom w:val="single" w:sz="4" w:space="0" w:color="auto"/>
            </w:tcBorders>
            <w:vAlign w:val="center"/>
          </w:tcPr>
          <w:p w14:paraId="144EEB38"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Exp./Prod. %</w:t>
            </w:r>
          </w:p>
        </w:tc>
        <w:tc>
          <w:tcPr>
            <w:tcW w:w="1607" w:type="dxa"/>
            <w:tcBorders>
              <w:top w:val="single" w:sz="4" w:space="0" w:color="auto"/>
              <w:bottom w:val="single" w:sz="4" w:space="0" w:color="auto"/>
            </w:tcBorders>
            <w:vAlign w:val="center"/>
          </w:tcPr>
          <w:p w14:paraId="32A2849C"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Imp./Prod. %</w:t>
            </w:r>
          </w:p>
        </w:tc>
        <w:tc>
          <w:tcPr>
            <w:tcW w:w="1607" w:type="dxa"/>
            <w:tcBorders>
              <w:top w:val="single" w:sz="4" w:space="0" w:color="auto"/>
              <w:bottom w:val="single" w:sz="4" w:space="0" w:color="auto"/>
            </w:tcBorders>
            <w:vAlign w:val="center"/>
          </w:tcPr>
          <w:p w14:paraId="1FC6102B"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Saldo/Prod. %</w:t>
            </w:r>
          </w:p>
        </w:tc>
        <w:tc>
          <w:tcPr>
            <w:tcW w:w="1318" w:type="dxa"/>
            <w:tcBorders>
              <w:top w:val="single" w:sz="4" w:space="0" w:color="auto"/>
              <w:bottom w:val="single" w:sz="4" w:space="0" w:color="auto"/>
            </w:tcBorders>
          </w:tcPr>
          <w:p w14:paraId="0C66FDA4"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%IPAD</w:t>
            </w:r>
          </w:p>
        </w:tc>
      </w:tr>
      <w:tr w:rsidR="001E7476" w:rsidRPr="001E7476" w14:paraId="1E8000B1" w14:textId="77777777" w:rsidTr="00BF579B">
        <w:tc>
          <w:tcPr>
            <w:tcW w:w="2977" w:type="dxa"/>
            <w:tcBorders>
              <w:top w:val="single" w:sz="4" w:space="0" w:color="auto"/>
            </w:tcBorders>
            <w:vAlign w:val="center"/>
          </w:tcPr>
          <w:p w14:paraId="0BA09A0B" w14:textId="77777777" w:rsidR="001E7476" w:rsidRPr="001E7476" w:rsidRDefault="001E7476" w:rsidP="001E7476">
            <w:pPr>
              <w:jc w:val="both"/>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Cana-de-açúcar</w:t>
            </w:r>
          </w:p>
        </w:tc>
        <w:tc>
          <w:tcPr>
            <w:tcW w:w="1606" w:type="dxa"/>
            <w:tcBorders>
              <w:top w:val="single" w:sz="4" w:space="0" w:color="auto"/>
            </w:tcBorders>
            <w:vAlign w:val="center"/>
          </w:tcPr>
          <w:p w14:paraId="2B424435"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69,1</w:t>
            </w:r>
          </w:p>
        </w:tc>
        <w:tc>
          <w:tcPr>
            <w:tcW w:w="1607" w:type="dxa"/>
            <w:tcBorders>
              <w:top w:val="single" w:sz="4" w:space="0" w:color="auto"/>
            </w:tcBorders>
            <w:vAlign w:val="center"/>
          </w:tcPr>
          <w:p w14:paraId="283F5F2D"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0,0</w:t>
            </w:r>
          </w:p>
        </w:tc>
        <w:tc>
          <w:tcPr>
            <w:tcW w:w="1607" w:type="dxa"/>
            <w:tcBorders>
              <w:top w:val="single" w:sz="4" w:space="0" w:color="auto"/>
            </w:tcBorders>
            <w:vAlign w:val="center"/>
          </w:tcPr>
          <w:p w14:paraId="2233047C"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69,1</w:t>
            </w:r>
          </w:p>
        </w:tc>
        <w:tc>
          <w:tcPr>
            <w:tcW w:w="1318" w:type="dxa"/>
            <w:tcBorders>
              <w:top w:val="single" w:sz="4" w:space="0" w:color="auto"/>
            </w:tcBorders>
          </w:tcPr>
          <w:p w14:paraId="1A3FD94C"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2,7</w:t>
            </w:r>
          </w:p>
        </w:tc>
      </w:tr>
      <w:tr w:rsidR="001E7476" w:rsidRPr="001E7476" w14:paraId="7CDB60DE" w14:textId="77777777" w:rsidTr="00BF579B">
        <w:tc>
          <w:tcPr>
            <w:tcW w:w="2977" w:type="dxa"/>
            <w:vAlign w:val="center"/>
          </w:tcPr>
          <w:p w14:paraId="2FA7561A" w14:textId="77777777" w:rsidR="001E7476" w:rsidRPr="001E7476" w:rsidRDefault="001E7476" w:rsidP="001E7476">
            <w:pPr>
              <w:jc w:val="both"/>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Café</w:t>
            </w:r>
          </w:p>
        </w:tc>
        <w:tc>
          <w:tcPr>
            <w:tcW w:w="1606" w:type="dxa"/>
            <w:vAlign w:val="center"/>
          </w:tcPr>
          <w:p w14:paraId="419EE814"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62,9</w:t>
            </w:r>
          </w:p>
        </w:tc>
        <w:tc>
          <w:tcPr>
            <w:tcW w:w="1607" w:type="dxa"/>
            <w:vAlign w:val="center"/>
          </w:tcPr>
          <w:p w14:paraId="083A2FCB"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0,0</w:t>
            </w:r>
          </w:p>
        </w:tc>
        <w:tc>
          <w:tcPr>
            <w:tcW w:w="1607" w:type="dxa"/>
            <w:vAlign w:val="center"/>
          </w:tcPr>
          <w:p w14:paraId="3B484122"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62,9</w:t>
            </w:r>
          </w:p>
        </w:tc>
        <w:tc>
          <w:tcPr>
            <w:tcW w:w="1318" w:type="dxa"/>
          </w:tcPr>
          <w:p w14:paraId="5DF78CA4"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2,2</w:t>
            </w:r>
          </w:p>
        </w:tc>
      </w:tr>
      <w:tr w:rsidR="001E7476" w:rsidRPr="001E7476" w14:paraId="5107BF31" w14:textId="77777777" w:rsidTr="00BF579B">
        <w:tc>
          <w:tcPr>
            <w:tcW w:w="2977" w:type="dxa"/>
            <w:vAlign w:val="center"/>
          </w:tcPr>
          <w:p w14:paraId="07201711" w14:textId="77777777" w:rsidR="001E7476" w:rsidRPr="001E7476" w:rsidRDefault="001E7476" w:rsidP="001E7476">
            <w:pPr>
              <w:jc w:val="both"/>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Soja</w:t>
            </w:r>
          </w:p>
        </w:tc>
        <w:tc>
          <w:tcPr>
            <w:tcW w:w="1606" w:type="dxa"/>
            <w:vAlign w:val="center"/>
          </w:tcPr>
          <w:p w14:paraId="7521A8BC"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52,1</w:t>
            </w:r>
          </w:p>
        </w:tc>
        <w:tc>
          <w:tcPr>
            <w:tcW w:w="1607" w:type="dxa"/>
            <w:vAlign w:val="center"/>
          </w:tcPr>
          <w:p w14:paraId="27533207"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0,3</w:t>
            </w:r>
          </w:p>
        </w:tc>
        <w:tc>
          <w:tcPr>
            <w:tcW w:w="1607" w:type="dxa"/>
            <w:vAlign w:val="center"/>
          </w:tcPr>
          <w:p w14:paraId="3DB30897"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51,8</w:t>
            </w:r>
          </w:p>
        </w:tc>
        <w:tc>
          <w:tcPr>
            <w:tcW w:w="1318" w:type="dxa"/>
          </w:tcPr>
          <w:p w14:paraId="185D5EBA"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3,4</w:t>
            </w:r>
          </w:p>
        </w:tc>
      </w:tr>
      <w:tr w:rsidR="001E7476" w:rsidRPr="001E7476" w14:paraId="7BCF6714" w14:textId="77777777" w:rsidTr="00BF579B">
        <w:tc>
          <w:tcPr>
            <w:tcW w:w="2977" w:type="dxa"/>
            <w:vAlign w:val="center"/>
          </w:tcPr>
          <w:p w14:paraId="313E886D" w14:textId="77777777" w:rsidR="001E7476" w:rsidRPr="001E7476" w:rsidRDefault="001E7476" w:rsidP="001E7476">
            <w:pPr>
              <w:jc w:val="both"/>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Citros</w:t>
            </w:r>
          </w:p>
        </w:tc>
        <w:tc>
          <w:tcPr>
            <w:tcW w:w="1606" w:type="dxa"/>
            <w:vAlign w:val="center"/>
          </w:tcPr>
          <w:p w14:paraId="47049E54"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50,8</w:t>
            </w:r>
          </w:p>
        </w:tc>
        <w:tc>
          <w:tcPr>
            <w:tcW w:w="1607" w:type="dxa"/>
            <w:vAlign w:val="center"/>
          </w:tcPr>
          <w:p w14:paraId="173AE977"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0,1</w:t>
            </w:r>
          </w:p>
        </w:tc>
        <w:tc>
          <w:tcPr>
            <w:tcW w:w="1607" w:type="dxa"/>
            <w:vAlign w:val="center"/>
          </w:tcPr>
          <w:p w14:paraId="4A1B31C1"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50,7</w:t>
            </w:r>
          </w:p>
        </w:tc>
        <w:tc>
          <w:tcPr>
            <w:tcW w:w="1318" w:type="dxa"/>
          </w:tcPr>
          <w:p w14:paraId="10508372"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0,7</w:t>
            </w:r>
          </w:p>
        </w:tc>
      </w:tr>
      <w:tr w:rsidR="001E7476" w:rsidRPr="001E7476" w14:paraId="540736DC" w14:textId="77777777" w:rsidTr="00BF579B">
        <w:tc>
          <w:tcPr>
            <w:tcW w:w="2977" w:type="dxa"/>
            <w:vAlign w:val="center"/>
          </w:tcPr>
          <w:p w14:paraId="5EB27315" w14:textId="77777777" w:rsidR="001E7476" w:rsidRPr="001E7476" w:rsidRDefault="001E7476" w:rsidP="001E7476">
            <w:pPr>
              <w:jc w:val="both"/>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Avicultura de Corte</w:t>
            </w:r>
          </w:p>
        </w:tc>
        <w:tc>
          <w:tcPr>
            <w:tcW w:w="1606" w:type="dxa"/>
            <w:vAlign w:val="center"/>
          </w:tcPr>
          <w:p w14:paraId="7EF5E08A"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30,7</w:t>
            </w:r>
          </w:p>
        </w:tc>
        <w:tc>
          <w:tcPr>
            <w:tcW w:w="1607" w:type="dxa"/>
            <w:vAlign w:val="center"/>
          </w:tcPr>
          <w:p w14:paraId="39B40E43"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0,0</w:t>
            </w:r>
          </w:p>
        </w:tc>
        <w:tc>
          <w:tcPr>
            <w:tcW w:w="1607" w:type="dxa"/>
            <w:vAlign w:val="center"/>
          </w:tcPr>
          <w:p w14:paraId="4B93EB31"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30,7</w:t>
            </w:r>
          </w:p>
        </w:tc>
        <w:tc>
          <w:tcPr>
            <w:tcW w:w="1318" w:type="dxa"/>
          </w:tcPr>
          <w:p w14:paraId="04B2A240"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6,0</w:t>
            </w:r>
          </w:p>
        </w:tc>
      </w:tr>
      <w:tr w:rsidR="001E7476" w:rsidRPr="001E7476" w14:paraId="549C63CA" w14:textId="77777777" w:rsidTr="00BF579B">
        <w:tc>
          <w:tcPr>
            <w:tcW w:w="2977" w:type="dxa"/>
            <w:vAlign w:val="center"/>
          </w:tcPr>
          <w:p w14:paraId="33D065F2" w14:textId="77777777" w:rsidR="001E7476" w:rsidRPr="001E7476" w:rsidRDefault="001E7476" w:rsidP="001E7476">
            <w:pPr>
              <w:jc w:val="both"/>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Milho</w:t>
            </w:r>
          </w:p>
        </w:tc>
        <w:tc>
          <w:tcPr>
            <w:tcW w:w="1606" w:type="dxa"/>
            <w:vAlign w:val="center"/>
          </w:tcPr>
          <w:p w14:paraId="5CE3CE74"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26,0</w:t>
            </w:r>
          </w:p>
        </w:tc>
        <w:tc>
          <w:tcPr>
            <w:tcW w:w="1607" w:type="dxa"/>
            <w:vAlign w:val="center"/>
          </w:tcPr>
          <w:p w14:paraId="2A74144E"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1,5</w:t>
            </w:r>
          </w:p>
        </w:tc>
        <w:tc>
          <w:tcPr>
            <w:tcW w:w="1607" w:type="dxa"/>
            <w:vAlign w:val="center"/>
          </w:tcPr>
          <w:p w14:paraId="423BB7D9"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24,5</w:t>
            </w:r>
          </w:p>
        </w:tc>
        <w:tc>
          <w:tcPr>
            <w:tcW w:w="1318" w:type="dxa"/>
          </w:tcPr>
          <w:p w14:paraId="0808CC90"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0,2</w:t>
            </w:r>
          </w:p>
        </w:tc>
      </w:tr>
      <w:tr w:rsidR="001E7476" w:rsidRPr="001E7476" w14:paraId="501EE71F" w14:textId="77777777" w:rsidTr="00BF579B">
        <w:tc>
          <w:tcPr>
            <w:tcW w:w="2977" w:type="dxa"/>
            <w:vAlign w:val="center"/>
          </w:tcPr>
          <w:p w14:paraId="0EAD0E0F" w14:textId="77777777" w:rsidR="001E7476" w:rsidRPr="001E7476" w:rsidRDefault="001E7476" w:rsidP="001E7476">
            <w:pPr>
              <w:jc w:val="both"/>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Suinocultura</w:t>
            </w:r>
          </w:p>
        </w:tc>
        <w:tc>
          <w:tcPr>
            <w:tcW w:w="1606" w:type="dxa"/>
            <w:vAlign w:val="center"/>
          </w:tcPr>
          <w:p w14:paraId="2001087A"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17,9</w:t>
            </w:r>
          </w:p>
        </w:tc>
        <w:tc>
          <w:tcPr>
            <w:tcW w:w="1607" w:type="dxa"/>
            <w:vAlign w:val="center"/>
          </w:tcPr>
          <w:p w14:paraId="62AEFE8B"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0,4</w:t>
            </w:r>
          </w:p>
        </w:tc>
        <w:tc>
          <w:tcPr>
            <w:tcW w:w="1607" w:type="dxa"/>
            <w:vAlign w:val="center"/>
          </w:tcPr>
          <w:p w14:paraId="6E680C9C"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17,5</w:t>
            </w:r>
          </w:p>
        </w:tc>
        <w:tc>
          <w:tcPr>
            <w:tcW w:w="1318" w:type="dxa"/>
          </w:tcPr>
          <w:p w14:paraId="28B8AF04"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4,4</w:t>
            </w:r>
          </w:p>
        </w:tc>
      </w:tr>
      <w:tr w:rsidR="001E7476" w:rsidRPr="001E7476" w14:paraId="3B393530" w14:textId="77777777" w:rsidTr="00BF579B">
        <w:tc>
          <w:tcPr>
            <w:tcW w:w="2977" w:type="dxa"/>
            <w:vAlign w:val="center"/>
          </w:tcPr>
          <w:p w14:paraId="4C9572B8" w14:textId="77777777" w:rsidR="001E7476" w:rsidRPr="001E7476" w:rsidRDefault="001E7476" w:rsidP="001E7476">
            <w:pPr>
              <w:jc w:val="both"/>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Bovinocultura de Corte</w:t>
            </w:r>
          </w:p>
        </w:tc>
        <w:tc>
          <w:tcPr>
            <w:tcW w:w="1606" w:type="dxa"/>
            <w:vAlign w:val="center"/>
          </w:tcPr>
          <w:p w14:paraId="1C5ECA3F"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17,5</w:t>
            </w:r>
          </w:p>
        </w:tc>
        <w:tc>
          <w:tcPr>
            <w:tcW w:w="1607" w:type="dxa"/>
            <w:vAlign w:val="center"/>
          </w:tcPr>
          <w:p w14:paraId="7B819EB6"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0,6</w:t>
            </w:r>
          </w:p>
        </w:tc>
        <w:tc>
          <w:tcPr>
            <w:tcW w:w="1607" w:type="dxa"/>
            <w:vAlign w:val="center"/>
          </w:tcPr>
          <w:p w14:paraId="36B2A56D"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16,9</w:t>
            </w:r>
          </w:p>
        </w:tc>
        <w:tc>
          <w:tcPr>
            <w:tcW w:w="1318" w:type="dxa"/>
          </w:tcPr>
          <w:p w14:paraId="7E81236E"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15,1</w:t>
            </w:r>
          </w:p>
        </w:tc>
      </w:tr>
      <w:tr w:rsidR="001E7476" w:rsidRPr="001E7476" w14:paraId="06C9F156" w14:textId="77777777" w:rsidTr="00BF579B">
        <w:tc>
          <w:tcPr>
            <w:tcW w:w="2977" w:type="dxa"/>
            <w:vAlign w:val="center"/>
          </w:tcPr>
          <w:p w14:paraId="1CBA4097" w14:textId="77777777" w:rsidR="001E7476" w:rsidRPr="001E7476" w:rsidRDefault="001E7476" w:rsidP="001E7476">
            <w:pPr>
              <w:jc w:val="both"/>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Cebola</w:t>
            </w:r>
          </w:p>
        </w:tc>
        <w:tc>
          <w:tcPr>
            <w:tcW w:w="1606" w:type="dxa"/>
            <w:vAlign w:val="center"/>
          </w:tcPr>
          <w:p w14:paraId="304CA5A4"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0,7</w:t>
            </w:r>
          </w:p>
        </w:tc>
        <w:tc>
          <w:tcPr>
            <w:tcW w:w="1607" w:type="dxa"/>
            <w:vAlign w:val="center"/>
          </w:tcPr>
          <w:p w14:paraId="077B54AE"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12,4</w:t>
            </w:r>
          </w:p>
        </w:tc>
        <w:tc>
          <w:tcPr>
            <w:tcW w:w="1607" w:type="dxa"/>
            <w:vAlign w:val="center"/>
          </w:tcPr>
          <w:p w14:paraId="216C515C"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-11,7</w:t>
            </w:r>
          </w:p>
        </w:tc>
        <w:tc>
          <w:tcPr>
            <w:tcW w:w="1318" w:type="dxa"/>
          </w:tcPr>
          <w:p w14:paraId="5379E819"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0,7</w:t>
            </w:r>
          </w:p>
        </w:tc>
      </w:tr>
      <w:tr w:rsidR="001E7476" w:rsidRPr="001E7476" w14:paraId="7FEF6AE0" w14:textId="77777777" w:rsidTr="00BF579B">
        <w:tc>
          <w:tcPr>
            <w:tcW w:w="2977" w:type="dxa"/>
            <w:vAlign w:val="center"/>
          </w:tcPr>
          <w:p w14:paraId="0C3C1316" w14:textId="77777777" w:rsidR="001E7476" w:rsidRPr="001E7476" w:rsidRDefault="001E7476" w:rsidP="001E7476">
            <w:pPr>
              <w:jc w:val="both"/>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Cacau</w:t>
            </w:r>
          </w:p>
        </w:tc>
        <w:tc>
          <w:tcPr>
            <w:tcW w:w="1606" w:type="dxa"/>
            <w:vAlign w:val="center"/>
          </w:tcPr>
          <w:p w14:paraId="77B4F839"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0,4</w:t>
            </w:r>
          </w:p>
        </w:tc>
        <w:tc>
          <w:tcPr>
            <w:tcW w:w="1607" w:type="dxa"/>
            <w:vAlign w:val="center"/>
          </w:tcPr>
          <w:p w14:paraId="74A39C9D"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22,7</w:t>
            </w:r>
          </w:p>
        </w:tc>
        <w:tc>
          <w:tcPr>
            <w:tcW w:w="1607" w:type="dxa"/>
            <w:vAlign w:val="center"/>
          </w:tcPr>
          <w:p w14:paraId="43BC2141"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-22,3</w:t>
            </w:r>
          </w:p>
        </w:tc>
        <w:tc>
          <w:tcPr>
            <w:tcW w:w="1318" w:type="dxa"/>
          </w:tcPr>
          <w:p w14:paraId="23549BF2"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1,7</w:t>
            </w:r>
          </w:p>
        </w:tc>
      </w:tr>
      <w:tr w:rsidR="001E7476" w:rsidRPr="001E7476" w14:paraId="00708A9B" w14:textId="77777777" w:rsidTr="00BF579B">
        <w:tc>
          <w:tcPr>
            <w:tcW w:w="2977" w:type="dxa"/>
            <w:tcBorders>
              <w:bottom w:val="single" w:sz="4" w:space="0" w:color="auto"/>
            </w:tcBorders>
            <w:vAlign w:val="center"/>
          </w:tcPr>
          <w:p w14:paraId="1EE41D05" w14:textId="77777777" w:rsidR="001E7476" w:rsidRPr="001E7476" w:rsidRDefault="001E7476" w:rsidP="001E7476">
            <w:pPr>
              <w:jc w:val="both"/>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Trigo</w:t>
            </w:r>
          </w:p>
        </w:tc>
        <w:tc>
          <w:tcPr>
            <w:tcW w:w="1606" w:type="dxa"/>
            <w:tcBorders>
              <w:bottom w:val="single" w:sz="4" w:space="0" w:color="auto"/>
            </w:tcBorders>
            <w:vAlign w:val="center"/>
          </w:tcPr>
          <w:p w14:paraId="303A1638"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18,0</w:t>
            </w:r>
          </w:p>
        </w:tc>
        <w:tc>
          <w:tcPr>
            <w:tcW w:w="1607" w:type="dxa"/>
            <w:tcBorders>
              <w:bottom w:val="single" w:sz="4" w:space="0" w:color="auto"/>
            </w:tcBorders>
            <w:vAlign w:val="center"/>
          </w:tcPr>
          <w:p w14:paraId="3F732E2C"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116,6</w:t>
            </w:r>
          </w:p>
        </w:tc>
        <w:tc>
          <w:tcPr>
            <w:tcW w:w="1607" w:type="dxa"/>
            <w:tcBorders>
              <w:bottom w:val="single" w:sz="4" w:space="0" w:color="auto"/>
            </w:tcBorders>
            <w:vAlign w:val="center"/>
          </w:tcPr>
          <w:p w14:paraId="40BF20EE"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-98,6</w:t>
            </w:r>
          </w:p>
        </w:tc>
        <w:tc>
          <w:tcPr>
            <w:tcW w:w="1318" w:type="dxa"/>
            <w:tcBorders>
              <w:bottom w:val="single" w:sz="4" w:space="0" w:color="auto"/>
            </w:tcBorders>
          </w:tcPr>
          <w:p w14:paraId="7F5F2738"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16,5</w:t>
            </w:r>
          </w:p>
        </w:tc>
      </w:tr>
      <w:tr w:rsidR="001E7476" w:rsidRPr="001E7476" w14:paraId="5823C4EE" w14:textId="77777777" w:rsidTr="0066309F">
        <w:tc>
          <w:tcPr>
            <w:tcW w:w="2977" w:type="dxa"/>
            <w:tcBorders>
              <w:top w:val="single" w:sz="4" w:space="0" w:color="auto"/>
              <w:bottom w:val="single" w:sz="4" w:space="0" w:color="auto"/>
            </w:tcBorders>
            <w:shd w:val="clear" w:color="auto" w:fill="F2F2F2" w:themeFill="background1" w:themeFillShade="F2"/>
          </w:tcPr>
          <w:p w14:paraId="78820823" w14:textId="08D32960" w:rsidR="001E7476" w:rsidRPr="001E7476" w:rsidRDefault="00A41A7C" w:rsidP="001E7476">
            <w:pPr>
              <w:jc w:val="both"/>
              <w:rPr>
                <w:rFonts w:ascii="Times New Roman" w:eastAsia="Times New Roman" w:hAnsi="Times New Roman"/>
                <w:bCs/>
                <w:color w:val="000000" w:themeColor="text1"/>
                <w:sz w:val="24"/>
                <w:szCs w:val="24"/>
                <w:shd w:val="clear" w:color="auto" w:fill="FFFFFF"/>
              </w:rPr>
            </w:pPr>
            <w:r w:rsidRPr="00C728F8">
              <w:rPr>
                <w:rFonts w:ascii="Times New Roman" w:hAnsi="Times New Roman"/>
                <w:color w:val="000000" w:themeColor="text1"/>
                <w:sz w:val="24"/>
                <w:szCs w:val="24"/>
              </w:rPr>
              <w:t>Comercializáveis</w:t>
            </w:r>
            <w:r>
              <w:rPr>
                <w:rFonts w:ascii="Times New Roman" w:hAnsi="Times New Roman"/>
                <w:color w:val="000000" w:themeColor="text1"/>
                <w:sz w:val="24"/>
                <w:szCs w:val="24"/>
              </w:rPr>
              <w:t>*</w:t>
            </w:r>
          </w:p>
        </w:tc>
        <w:tc>
          <w:tcPr>
            <w:tcW w:w="1606" w:type="dxa"/>
            <w:tcBorders>
              <w:top w:val="single" w:sz="4" w:space="0" w:color="auto"/>
              <w:bottom w:val="single" w:sz="4" w:space="0" w:color="auto"/>
            </w:tcBorders>
            <w:shd w:val="clear" w:color="auto" w:fill="F2F2F2" w:themeFill="background1" w:themeFillShade="F2"/>
            <w:vAlign w:val="center"/>
          </w:tcPr>
          <w:p w14:paraId="2F7F30E3" w14:textId="77777777" w:rsidR="001E7476" w:rsidRPr="0066309F" w:rsidRDefault="001E7476" w:rsidP="0066309F">
            <w:pPr>
              <w:jc w:val="center"/>
              <w:rPr>
                <w:rFonts w:ascii="Times New Roman" w:hAnsi="Times New Roman"/>
                <w:sz w:val="22"/>
                <w:szCs w:val="22"/>
              </w:rPr>
            </w:pPr>
            <w:r w:rsidRPr="0066309F">
              <w:rPr>
                <w:rFonts w:ascii="Times New Roman" w:hAnsi="Times New Roman"/>
                <w:sz w:val="22"/>
                <w:szCs w:val="22"/>
              </w:rPr>
              <w:t>31,4</w:t>
            </w:r>
          </w:p>
        </w:tc>
        <w:tc>
          <w:tcPr>
            <w:tcW w:w="1607" w:type="dxa"/>
            <w:tcBorders>
              <w:top w:val="single" w:sz="4" w:space="0" w:color="auto"/>
              <w:bottom w:val="single" w:sz="4" w:space="0" w:color="auto"/>
            </w:tcBorders>
            <w:shd w:val="clear" w:color="auto" w:fill="F2F2F2" w:themeFill="background1" w:themeFillShade="F2"/>
            <w:vAlign w:val="center"/>
          </w:tcPr>
          <w:p w14:paraId="3D833162" w14:textId="77777777" w:rsidR="001E7476" w:rsidRPr="0066309F" w:rsidRDefault="001E7476" w:rsidP="0066309F">
            <w:pPr>
              <w:jc w:val="center"/>
              <w:rPr>
                <w:rFonts w:ascii="Times New Roman" w:hAnsi="Times New Roman"/>
                <w:sz w:val="22"/>
                <w:szCs w:val="22"/>
              </w:rPr>
            </w:pPr>
            <w:r w:rsidRPr="0066309F">
              <w:rPr>
                <w:rFonts w:ascii="Times New Roman" w:hAnsi="Times New Roman"/>
                <w:sz w:val="22"/>
                <w:szCs w:val="22"/>
              </w:rPr>
              <w:t>14,1</w:t>
            </w:r>
          </w:p>
        </w:tc>
        <w:tc>
          <w:tcPr>
            <w:tcW w:w="1607" w:type="dxa"/>
            <w:tcBorders>
              <w:top w:val="single" w:sz="4" w:space="0" w:color="auto"/>
              <w:bottom w:val="single" w:sz="4" w:space="0" w:color="auto"/>
            </w:tcBorders>
            <w:shd w:val="clear" w:color="auto" w:fill="F2F2F2" w:themeFill="background1" w:themeFillShade="F2"/>
            <w:vAlign w:val="center"/>
          </w:tcPr>
          <w:p w14:paraId="6D0A49ED" w14:textId="77777777" w:rsidR="001E7476" w:rsidRPr="0066309F" w:rsidRDefault="001E7476" w:rsidP="0066309F">
            <w:pPr>
              <w:jc w:val="center"/>
              <w:rPr>
                <w:rFonts w:ascii="Times New Roman" w:hAnsi="Times New Roman"/>
                <w:sz w:val="22"/>
                <w:szCs w:val="22"/>
              </w:rPr>
            </w:pPr>
            <w:r w:rsidRPr="0066309F">
              <w:rPr>
                <w:rFonts w:ascii="Times New Roman" w:hAnsi="Times New Roman"/>
                <w:sz w:val="22"/>
                <w:szCs w:val="22"/>
              </w:rPr>
              <w:t>17,4</w:t>
            </w:r>
          </w:p>
        </w:tc>
        <w:tc>
          <w:tcPr>
            <w:tcW w:w="1318" w:type="dxa"/>
            <w:tcBorders>
              <w:top w:val="single" w:sz="4" w:space="0" w:color="auto"/>
              <w:bottom w:val="single" w:sz="4" w:space="0" w:color="auto"/>
            </w:tcBorders>
            <w:shd w:val="clear" w:color="auto" w:fill="F2F2F2" w:themeFill="background1" w:themeFillShade="F2"/>
            <w:vAlign w:val="center"/>
          </w:tcPr>
          <w:p w14:paraId="3EC2F452" w14:textId="77777777" w:rsidR="001E7476" w:rsidRPr="0066309F" w:rsidRDefault="001E7476" w:rsidP="0066309F">
            <w:pPr>
              <w:jc w:val="center"/>
              <w:rPr>
                <w:rFonts w:ascii="Times New Roman" w:hAnsi="Times New Roman"/>
                <w:sz w:val="22"/>
                <w:szCs w:val="22"/>
              </w:rPr>
            </w:pPr>
            <w:r w:rsidRPr="0066309F">
              <w:rPr>
                <w:rFonts w:ascii="Times New Roman" w:hAnsi="Times New Roman"/>
                <w:sz w:val="22"/>
                <w:szCs w:val="22"/>
              </w:rPr>
              <w:t>53,6</w:t>
            </w:r>
          </w:p>
        </w:tc>
      </w:tr>
      <w:tr w:rsidR="001E7476" w:rsidRPr="001E7476" w14:paraId="108AA19D" w14:textId="77777777" w:rsidTr="00BF579B">
        <w:tc>
          <w:tcPr>
            <w:tcW w:w="2977" w:type="dxa"/>
            <w:tcBorders>
              <w:top w:val="single" w:sz="4" w:space="0" w:color="auto"/>
            </w:tcBorders>
            <w:shd w:val="clear" w:color="auto" w:fill="FFFFFF" w:themeFill="background1"/>
            <w:vAlign w:val="center"/>
          </w:tcPr>
          <w:p w14:paraId="6F46C1D0" w14:textId="77777777" w:rsidR="001E7476" w:rsidRPr="001E7476" w:rsidRDefault="001E7476" w:rsidP="001E7476">
            <w:pPr>
              <w:jc w:val="both"/>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Arroz</w:t>
            </w:r>
          </w:p>
        </w:tc>
        <w:tc>
          <w:tcPr>
            <w:tcW w:w="1606" w:type="dxa"/>
            <w:tcBorders>
              <w:top w:val="single" w:sz="4" w:space="0" w:color="auto"/>
            </w:tcBorders>
            <w:shd w:val="clear" w:color="auto" w:fill="FFFFFF" w:themeFill="background1"/>
            <w:vAlign w:val="center"/>
          </w:tcPr>
          <w:p w14:paraId="08864339"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7,1</w:t>
            </w:r>
          </w:p>
        </w:tc>
        <w:tc>
          <w:tcPr>
            <w:tcW w:w="1607" w:type="dxa"/>
            <w:tcBorders>
              <w:top w:val="single" w:sz="4" w:space="0" w:color="auto"/>
            </w:tcBorders>
            <w:shd w:val="clear" w:color="auto" w:fill="FFFFFF" w:themeFill="background1"/>
            <w:vAlign w:val="center"/>
          </w:tcPr>
          <w:p w14:paraId="21CDA286"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5,7</w:t>
            </w:r>
          </w:p>
        </w:tc>
        <w:tc>
          <w:tcPr>
            <w:tcW w:w="1607" w:type="dxa"/>
            <w:tcBorders>
              <w:top w:val="single" w:sz="4" w:space="0" w:color="auto"/>
            </w:tcBorders>
            <w:shd w:val="clear" w:color="auto" w:fill="FFFFFF" w:themeFill="background1"/>
            <w:vAlign w:val="center"/>
          </w:tcPr>
          <w:p w14:paraId="68E0A6B9"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1,3</w:t>
            </w:r>
          </w:p>
        </w:tc>
        <w:tc>
          <w:tcPr>
            <w:tcW w:w="1318" w:type="dxa"/>
            <w:tcBorders>
              <w:top w:val="single" w:sz="4" w:space="0" w:color="auto"/>
            </w:tcBorders>
            <w:shd w:val="clear" w:color="auto" w:fill="FFFFFF" w:themeFill="background1"/>
          </w:tcPr>
          <w:p w14:paraId="0D690251"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4,8</w:t>
            </w:r>
          </w:p>
        </w:tc>
      </w:tr>
      <w:tr w:rsidR="001E7476" w:rsidRPr="001E7476" w14:paraId="722D413F" w14:textId="77777777" w:rsidTr="00BF579B">
        <w:tc>
          <w:tcPr>
            <w:tcW w:w="2977" w:type="dxa"/>
            <w:shd w:val="clear" w:color="auto" w:fill="FFFFFF" w:themeFill="background1"/>
            <w:vAlign w:val="center"/>
          </w:tcPr>
          <w:p w14:paraId="3166C2C0" w14:textId="77777777" w:rsidR="001E7476" w:rsidRPr="001E7476" w:rsidRDefault="001E7476" w:rsidP="001E7476">
            <w:pPr>
              <w:jc w:val="both"/>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Feijão</w:t>
            </w:r>
          </w:p>
        </w:tc>
        <w:tc>
          <w:tcPr>
            <w:tcW w:w="1606" w:type="dxa"/>
            <w:shd w:val="clear" w:color="auto" w:fill="FFFFFF" w:themeFill="background1"/>
            <w:vAlign w:val="center"/>
          </w:tcPr>
          <w:p w14:paraId="4E4A1ADD"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2,2</w:t>
            </w:r>
          </w:p>
        </w:tc>
        <w:tc>
          <w:tcPr>
            <w:tcW w:w="1607" w:type="dxa"/>
            <w:shd w:val="clear" w:color="auto" w:fill="FFFFFF" w:themeFill="background1"/>
            <w:vAlign w:val="center"/>
          </w:tcPr>
          <w:p w14:paraId="0BF56555"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6,2</w:t>
            </w:r>
          </w:p>
        </w:tc>
        <w:tc>
          <w:tcPr>
            <w:tcW w:w="1607" w:type="dxa"/>
            <w:shd w:val="clear" w:color="auto" w:fill="FFFFFF" w:themeFill="background1"/>
            <w:vAlign w:val="center"/>
          </w:tcPr>
          <w:p w14:paraId="603D2792"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-4,0</w:t>
            </w:r>
          </w:p>
        </w:tc>
        <w:tc>
          <w:tcPr>
            <w:tcW w:w="1318" w:type="dxa"/>
            <w:shd w:val="clear" w:color="auto" w:fill="FFFFFF" w:themeFill="background1"/>
          </w:tcPr>
          <w:p w14:paraId="25240700"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2,8</w:t>
            </w:r>
          </w:p>
        </w:tc>
      </w:tr>
      <w:tr w:rsidR="001E7476" w:rsidRPr="001E7476" w14:paraId="1303DF3F" w14:textId="77777777" w:rsidTr="00BF579B">
        <w:tc>
          <w:tcPr>
            <w:tcW w:w="2977" w:type="dxa"/>
            <w:shd w:val="clear" w:color="auto" w:fill="FFFFFF" w:themeFill="background1"/>
            <w:vAlign w:val="center"/>
          </w:tcPr>
          <w:p w14:paraId="4D2CFB35" w14:textId="77777777" w:rsidR="001E7476" w:rsidRPr="001E7476" w:rsidRDefault="001E7476" w:rsidP="001E7476">
            <w:pPr>
              <w:jc w:val="both"/>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Bovinocultura de Leite</w:t>
            </w:r>
          </w:p>
        </w:tc>
        <w:tc>
          <w:tcPr>
            <w:tcW w:w="1606" w:type="dxa"/>
            <w:shd w:val="clear" w:color="auto" w:fill="FFFFFF" w:themeFill="background1"/>
            <w:vAlign w:val="center"/>
          </w:tcPr>
          <w:p w14:paraId="51ADFAB1"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1,8</w:t>
            </w:r>
          </w:p>
        </w:tc>
        <w:tc>
          <w:tcPr>
            <w:tcW w:w="1607" w:type="dxa"/>
            <w:shd w:val="clear" w:color="auto" w:fill="FFFFFF" w:themeFill="background1"/>
            <w:vAlign w:val="center"/>
          </w:tcPr>
          <w:p w14:paraId="1A773B5C"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4,2</w:t>
            </w:r>
          </w:p>
        </w:tc>
        <w:tc>
          <w:tcPr>
            <w:tcW w:w="1607" w:type="dxa"/>
            <w:shd w:val="clear" w:color="auto" w:fill="FFFFFF" w:themeFill="background1"/>
            <w:vAlign w:val="center"/>
          </w:tcPr>
          <w:p w14:paraId="6B2CF0D7"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-2,4</w:t>
            </w:r>
          </w:p>
        </w:tc>
        <w:tc>
          <w:tcPr>
            <w:tcW w:w="1318" w:type="dxa"/>
            <w:shd w:val="clear" w:color="auto" w:fill="FFFFFF" w:themeFill="background1"/>
          </w:tcPr>
          <w:p w14:paraId="36205FB1"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12,8</w:t>
            </w:r>
          </w:p>
        </w:tc>
      </w:tr>
      <w:tr w:rsidR="001E7476" w:rsidRPr="001E7476" w14:paraId="61414E99" w14:textId="77777777" w:rsidTr="00BF579B">
        <w:tc>
          <w:tcPr>
            <w:tcW w:w="2977" w:type="dxa"/>
            <w:tcBorders>
              <w:bottom w:val="single" w:sz="4" w:space="0" w:color="auto"/>
            </w:tcBorders>
            <w:shd w:val="clear" w:color="auto" w:fill="FFFFFF" w:themeFill="background1"/>
            <w:vAlign w:val="center"/>
          </w:tcPr>
          <w:p w14:paraId="1698347A" w14:textId="77777777" w:rsidR="001E7476" w:rsidRPr="001E7476" w:rsidRDefault="001E7476" w:rsidP="001E7476">
            <w:pPr>
              <w:jc w:val="both"/>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Batata</w:t>
            </w:r>
          </w:p>
        </w:tc>
        <w:tc>
          <w:tcPr>
            <w:tcW w:w="1606" w:type="dxa"/>
            <w:tcBorders>
              <w:bottom w:val="single" w:sz="4" w:space="0" w:color="auto"/>
            </w:tcBorders>
            <w:shd w:val="clear" w:color="auto" w:fill="FFFFFF" w:themeFill="background1"/>
            <w:vAlign w:val="center"/>
          </w:tcPr>
          <w:p w14:paraId="6821F5D3"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0,2</w:t>
            </w:r>
          </w:p>
        </w:tc>
        <w:tc>
          <w:tcPr>
            <w:tcW w:w="1607" w:type="dxa"/>
            <w:tcBorders>
              <w:bottom w:val="single" w:sz="4" w:space="0" w:color="auto"/>
            </w:tcBorders>
            <w:shd w:val="clear" w:color="auto" w:fill="FFFFFF" w:themeFill="background1"/>
            <w:vAlign w:val="center"/>
          </w:tcPr>
          <w:p w14:paraId="79E080C2"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7,4</w:t>
            </w:r>
          </w:p>
        </w:tc>
        <w:tc>
          <w:tcPr>
            <w:tcW w:w="1607" w:type="dxa"/>
            <w:tcBorders>
              <w:bottom w:val="single" w:sz="4" w:space="0" w:color="auto"/>
            </w:tcBorders>
            <w:shd w:val="clear" w:color="auto" w:fill="FFFFFF" w:themeFill="background1"/>
            <w:vAlign w:val="center"/>
          </w:tcPr>
          <w:p w14:paraId="34B87BE7"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-7,2</w:t>
            </w:r>
          </w:p>
        </w:tc>
        <w:tc>
          <w:tcPr>
            <w:tcW w:w="1318" w:type="dxa"/>
            <w:tcBorders>
              <w:bottom w:val="single" w:sz="4" w:space="0" w:color="auto"/>
            </w:tcBorders>
            <w:shd w:val="clear" w:color="auto" w:fill="FFFFFF" w:themeFill="background1"/>
          </w:tcPr>
          <w:p w14:paraId="24761646"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1,2</w:t>
            </w:r>
          </w:p>
        </w:tc>
      </w:tr>
      <w:tr w:rsidR="001E7476" w:rsidRPr="001E7476" w14:paraId="3F1E9E3D" w14:textId="77777777" w:rsidTr="0066309F">
        <w:tc>
          <w:tcPr>
            <w:tcW w:w="2977" w:type="dxa"/>
            <w:tcBorders>
              <w:top w:val="single" w:sz="4" w:space="0" w:color="auto"/>
              <w:bottom w:val="single" w:sz="4" w:space="0" w:color="auto"/>
            </w:tcBorders>
            <w:shd w:val="clear" w:color="auto" w:fill="F2F2F2" w:themeFill="background1" w:themeFillShade="F2"/>
          </w:tcPr>
          <w:p w14:paraId="21713540" w14:textId="5581C225" w:rsidR="001E7476" w:rsidRPr="001E7476" w:rsidRDefault="00A41A7C" w:rsidP="001E7476">
            <w:pPr>
              <w:jc w:val="both"/>
              <w:rPr>
                <w:rFonts w:ascii="Times New Roman" w:eastAsia="Times New Roman" w:hAnsi="Times New Roman"/>
                <w:bCs/>
                <w:color w:val="000000" w:themeColor="text1"/>
                <w:sz w:val="24"/>
                <w:szCs w:val="24"/>
                <w:shd w:val="clear" w:color="auto" w:fill="FFFFFF"/>
              </w:rPr>
            </w:pPr>
            <w:r w:rsidRPr="00C728F8">
              <w:rPr>
                <w:rFonts w:ascii="Times New Roman" w:hAnsi="Times New Roman"/>
                <w:color w:val="000000" w:themeColor="text1"/>
                <w:sz w:val="24"/>
                <w:szCs w:val="24"/>
              </w:rPr>
              <w:t>Med</w:t>
            </w:r>
            <w:r w:rsidRPr="004E40CE">
              <w:rPr>
                <w:rFonts w:ascii="Times New Roman" w:hAnsi="Times New Roman"/>
                <w:color w:val="000000" w:themeColor="text1"/>
                <w:sz w:val="24"/>
                <w:szCs w:val="24"/>
              </w:rPr>
              <w:t>.</w:t>
            </w:r>
            <w:r w:rsidRPr="00C728F8">
              <w:rPr>
                <w:rFonts w:ascii="Times New Roman" w:hAnsi="Times New Roman"/>
                <w:color w:val="000000" w:themeColor="text1"/>
                <w:sz w:val="24"/>
                <w:szCs w:val="24"/>
              </w:rPr>
              <w:t xml:space="preserve"> </w:t>
            </w:r>
            <w:r w:rsidRPr="004E40CE">
              <w:rPr>
                <w:rFonts w:ascii="Times New Roman" w:hAnsi="Times New Roman"/>
                <w:color w:val="000000" w:themeColor="text1"/>
                <w:sz w:val="24"/>
                <w:szCs w:val="24"/>
              </w:rPr>
              <w:t>C</w:t>
            </w:r>
            <w:r w:rsidRPr="00C728F8">
              <w:rPr>
                <w:rFonts w:ascii="Times New Roman" w:hAnsi="Times New Roman"/>
                <w:color w:val="000000" w:themeColor="text1"/>
                <w:sz w:val="24"/>
                <w:szCs w:val="24"/>
              </w:rPr>
              <w:t>omercializáveis</w:t>
            </w:r>
            <w:r>
              <w:rPr>
                <w:rFonts w:ascii="Times New Roman" w:hAnsi="Times New Roman"/>
                <w:color w:val="000000" w:themeColor="text1"/>
                <w:sz w:val="24"/>
                <w:szCs w:val="24"/>
              </w:rPr>
              <w:t>*</w:t>
            </w:r>
          </w:p>
        </w:tc>
        <w:tc>
          <w:tcPr>
            <w:tcW w:w="1606" w:type="dxa"/>
            <w:tcBorders>
              <w:top w:val="single" w:sz="4" w:space="0" w:color="auto"/>
              <w:bottom w:val="single" w:sz="4" w:space="0" w:color="auto"/>
            </w:tcBorders>
            <w:shd w:val="clear" w:color="auto" w:fill="F2F2F2" w:themeFill="background1" w:themeFillShade="F2"/>
            <w:vAlign w:val="center"/>
          </w:tcPr>
          <w:p w14:paraId="0F14A0C9" w14:textId="77777777" w:rsidR="001E7476" w:rsidRPr="0066309F" w:rsidRDefault="001E7476" w:rsidP="0066309F">
            <w:pPr>
              <w:jc w:val="center"/>
              <w:rPr>
                <w:rFonts w:ascii="Times New Roman" w:hAnsi="Times New Roman"/>
                <w:sz w:val="22"/>
                <w:szCs w:val="22"/>
              </w:rPr>
            </w:pPr>
            <w:r w:rsidRPr="0066309F">
              <w:rPr>
                <w:rFonts w:ascii="Times New Roman" w:hAnsi="Times New Roman"/>
                <w:sz w:val="22"/>
                <w:szCs w:val="22"/>
              </w:rPr>
              <w:t>2,8</w:t>
            </w:r>
          </w:p>
        </w:tc>
        <w:tc>
          <w:tcPr>
            <w:tcW w:w="1607" w:type="dxa"/>
            <w:tcBorders>
              <w:top w:val="single" w:sz="4" w:space="0" w:color="auto"/>
              <w:bottom w:val="single" w:sz="4" w:space="0" w:color="auto"/>
            </w:tcBorders>
            <w:shd w:val="clear" w:color="auto" w:fill="F2F2F2" w:themeFill="background1" w:themeFillShade="F2"/>
            <w:vAlign w:val="center"/>
          </w:tcPr>
          <w:p w14:paraId="2568EBE7" w14:textId="77777777" w:rsidR="001E7476" w:rsidRPr="0066309F" w:rsidRDefault="001E7476" w:rsidP="0066309F">
            <w:pPr>
              <w:jc w:val="center"/>
              <w:rPr>
                <w:rFonts w:ascii="Times New Roman" w:hAnsi="Times New Roman"/>
                <w:sz w:val="22"/>
                <w:szCs w:val="22"/>
              </w:rPr>
            </w:pPr>
            <w:r w:rsidRPr="0066309F">
              <w:rPr>
                <w:rFonts w:ascii="Times New Roman" w:hAnsi="Times New Roman"/>
                <w:sz w:val="22"/>
                <w:szCs w:val="22"/>
              </w:rPr>
              <w:t>5,9</w:t>
            </w:r>
          </w:p>
        </w:tc>
        <w:tc>
          <w:tcPr>
            <w:tcW w:w="1607" w:type="dxa"/>
            <w:tcBorders>
              <w:top w:val="single" w:sz="4" w:space="0" w:color="auto"/>
              <w:bottom w:val="single" w:sz="4" w:space="0" w:color="auto"/>
            </w:tcBorders>
            <w:shd w:val="clear" w:color="auto" w:fill="F2F2F2" w:themeFill="background1" w:themeFillShade="F2"/>
            <w:vAlign w:val="center"/>
          </w:tcPr>
          <w:p w14:paraId="452ECF30" w14:textId="77777777" w:rsidR="001E7476" w:rsidRPr="0066309F" w:rsidRDefault="001E7476" w:rsidP="0066309F">
            <w:pPr>
              <w:jc w:val="center"/>
              <w:rPr>
                <w:rFonts w:ascii="Times New Roman" w:hAnsi="Times New Roman"/>
                <w:sz w:val="22"/>
                <w:szCs w:val="22"/>
              </w:rPr>
            </w:pPr>
            <w:r w:rsidRPr="0066309F">
              <w:rPr>
                <w:rFonts w:ascii="Times New Roman" w:hAnsi="Times New Roman"/>
                <w:sz w:val="22"/>
                <w:szCs w:val="22"/>
              </w:rPr>
              <w:t>-3,1</w:t>
            </w:r>
          </w:p>
        </w:tc>
        <w:tc>
          <w:tcPr>
            <w:tcW w:w="1318" w:type="dxa"/>
            <w:tcBorders>
              <w:top w:val="single" w:sz="4" w:space="0" w:color="auto"/>
              <w:bottom w:val="single" w:sz="4" w:space="0" w:color="auto"/>
            </w:tcBorders>
            <w:shd w:val="clear" w:color="auto" w:fill="F2F2F2" w:themeFill="background1" w:themeFillShade="F2"/>
            <w:vAlign w:val="center"/>
          </w:tcPr>
          <w:p w14:paraId="2FCF4F36" w14:textId="77777777" w:rsidR="001E7476" w:rsidRPr="0066309F" w:rsidRDefault="001E7476" w:rsidP="0066309F">
            <w:pPr>
              <w:jc w:val="center"/>
              <w:rPr>
                <w:rFonts w:ascii="Times New Roman" w:hAnsi="Times New Roman"/>
                <w:sz w:val="22"/>
                <w:szCs w:val="22"/>
              </w:rPr>
            </w:pPr>
            <w:r w:rsidRPr="0066309F">
              <w:rPr>
                <w:rFonts w:ascii="Times New Roman" w:hAnsi="Times New Roman"/>
                <w:sz w:val="22"/>
                <w:szCs w:val="22"/>
              </w:rPr>
              <w:t>21,6</w:t>
            </w:r>
          </w:p>
        </w:tc>
      </w:tr>
      <w:tr w:rsidR="001E7476" w:rsidRPr="001E7476" w14:paraId="007EDADB" w14:textId="77777777" w:rsidTr="00BF579B">
        <w:tc>
          <w:tcPr>
            <w:tcW w:w="2977" w:type="dxa"/>
            <w:tcBorders>
              <w:top w:val="single" w:sz="4" w:space="0" w:color="auto"/>
            </w:tcBorders>
            <w:shd w:val="clear" w:color="auto" w:fill="FFFFFF" w:themeFill="background1"/>
            <w:vAlign w:val="center"/>
          </w:tcPr>
          <w:p w14:paraId="14A958EA" w14:textId="77777777" w:rsidR="001E7476" w:rsidRPr="001E7476" w:rsidRDefault="001E7476" w:rsidP="001E7476">
            <w:pPr>
              <w:jc w:val="both"/>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Banana</w:t>
            </w:r>
          </w:p>
        </w:tc>
        <w:tc>
          <w:tcPr>
            <w:tcW w:w="1606" w:type="dxa"/>
            <w:tcBorders>
              <w:top w:val="single" w:sz="4" w:space="0" w:color="auto"/>
            </w:tcBorders>
            <w:shd w:val="clear" w:color="auto" w:fill="FFFFFF" w:themeFill="background1"/>
            <w:vAlign w:val="center"/>
          </w:tcPr>
          <w:p w14:paraId="3FC4B8D0"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1,5</w:t>
            </w:r>
          </w:p>
        </w:tc>
        <w:tc>
          <w:tcPr>
            <w:tcW w:w="1607" w:type="dxa"/>
            <w:tcBorders>
              <w:top w:val="single" w:sz="4" w:space="0" w:color="auto"/>
            </w:tcBorders>
            <w:shd w:val="clear" w:color="auto" w:fill="FFFFFF" w:themeFill="background1"/>
            <w:vAlign w:val="center"/>
          </w:tcPr>
          <w:p w14:paraId="78F2D90D"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0,0</w:t>
            </w:r>
          </w:p>
        </w:tc>
        <w:tc>
          <w:tcPr>
            <w:tcW w:w="1607" w:type="dxa"/>
            <w:tcBorders>
              <w:top w:val="single" w:sz="4" w:space="0" w:color="auto"/>
            </w:tcBorders>
            <w:shd w:val="clear" w:color="auto" w:fill="FFFFFF" w:themeFill="background1"/>
            <w:vAlign w:val="center"/>
          </w:tcPr>
          <w:p w14:paraId="177DD198"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1,5</w:t>
            </w:r>
          </w:p>
        </w:tc>
        <w:tc>
          <w:tcPr>
            <w:tcW w:w="1318" w:type="dxa"/>
            <w:tcBorders>
              <w:top w:val="single" w:sz="4" w:space="0" w:color="auto"/>
            </w:tcBorders>
            <w:shd w:val="clear" w:color="auto" w:fill="FFFFFF" w:themeFill="background1"/>
          </w:tcPr>
          <w:p w14:paraId="50DE7016"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1,6</w:t>
            </w:r>
          </w:p>
        </w:tc>
      </w:tr>
      <w:tr w:rsidR="001E7476" w:rsidRPr="001E7476" w14:paraId="2FB5FA82" w14:textId="77777777" w:rsidTr="00BF579B">
        <w:tc>
          <w:tcPr>
            <w:tcW w:w="2977" w:type="dxa"/>
            <w:shd w:val="clear" w:color="auto" w:fill="FFFFFF" w:themeFill="background1"/>
            <w:vAlign w:val="center"/>
          </w:tcPr>
          <w:p w14:paraId="1D9EB563" w14:textId="77777777" w:rsidR="001E7476" w:rsidRPr="001E7476" w:rsidRDefault="001E7476" w:rsidP="001E7476">
            <w:pPr>
              <w:jc w:val="both"/>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Avicultura de Postura</w:t>
            </w:r>
          </w:p>
        </w:tc>
        <w:tc>
          <w:tcPr>
            <w:tcW w:w="1606" w:type="dxa"/>
            <w:shd w:val="clear" w:color="auto" w:fill="FFFFFF" w:themeFill="background1"/>
            <w:vAlign w:val="center"/>
          </w:tcPr>
          <w:p w14:paraId="6CA168C9"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1,2</w:t>
            </w:r>
          </w:p>
        </w:tc>
        <w:tc>
          <w:tcPr>
            <w:tcW w:w="1607" w:type="dxa"/>
            <w:shd w:val="clear" w:color="auto" w:fill="FFFFFF" w:themeFill="background1"/>
            <w:vAlign w:val="center"/>
          </w:tcPr>
          <w:p w14:paraId="073DD9DA"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0,0</w:t>
            </w:r>
          </w:p>
        </w:tc>
        <w:tc>
          <w:tcPr>
            <w:tcW w:w="1607" w:type="dxa"/>
            <w:shd w:val="clear" w:color="auto" w:fill="FFFFFF" w:themeFill="background1"/>
            <w:vAlign w:val="center"/>
          </w:tcPr>
          <w:p w14:paraId="6ADB2E93"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1,2</w:t>
            </w:r>
          </w:p>
        </w:tc>
        <w:tc>
          <w:tcPr>
            <w:tcW w:w="1318" w:type="dxa"/>
            <w:shd w:val="clear" w:color="auto" w:fill="FFFFFF" w:themeFill="background1"/>
          </w:tcPr>
          <w:p w14:paraId="7596A7F3"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1,3</w:t>
            </w:r>
          </w:p>
        </w:tc>
      </w:tr>
      <w:tr w:rsidR="001E7476" w:rsidRPr="001E7476" w14:paraId="2CC6BD0B" w14:textId="77777777" w:rsidTr="00BF579B">
        <w:tc>
          <w:tcPr>
            <w:tcW w:w="2977" w:type="dxa"/>
            <w:shd w:val="clear" w:color="auto" w:fill="FFFFFF" w:themeFill="background1"/>
            <w:vAlign w:val="center"/>
          </w:tcPr>
          <w:p w14:paraId="73580FFC" w14:textId="77777777" w:rsidR="001E7476" w:rsidRPr="001E7476" w:rsidRDefault="001E7476" w:rsidP="001E7476">
            <w:pPr>
              <w:jc w:val="both"/>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Tomate</w:t>
            </w:r>
          </w:p>
        </w:tc>
        <w:tc>
          <w:tcPr>
            <w:tcW w:w="1606" w:type="dxa"/>
            <w:shd w:val="clear" w:color="auto" w:fill="FFFFFF" w:themeFill="background1"/>
            <w:vAlign w:val="center"/>
          </w:tcPr>
          <w:p w14:paraId="146A30AF"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0,2</w:t>
            </w:r>
          </w:p>
        </w:tc>
        <w:tc>
          <w:tcPr>
            <w:tcW w:w="1607" w:type="dxa"/>
            <w:shd w:val="clear" w:color="auto" w:fill="FFFFFF" w:themeFill="background1"/>
            <w:vAlign w:val="center"/>
          </w:tcPr>
          <w:p w14:paraId="48DA600C"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0,9</w:t>
            </w:r>
          </w:p>
        </w:tc>
        <w:tc>
          <w:tcPr>
            <w:tcW w:w="1607" w:type="dxa"/>
            <w:shd w:val="clear" w:color="auto" w:fill="FFFFFF" w:themeFill="background1"/>
            <w:vAlign w:val="center"/>
          </w:tcPr>
          <w:p w14:paraId="7CA38838"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-0,7</w:t>
            </w:r>
          </w:p>
        </w:tc>
        <w:tc>
          <w:tcPr>
            <w:tcW w:w="1318" w:type="dxa"/>
            <w:shd w:val="clear" w:color="auto" w:fill="FFFFFF" w:themeFill="background1"/>
          </w:tcPr>
          <w:p w14:paraId="28ADC0B6"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2,3</w:t>
            </w:r>
          </w:p>
        </w:tc>
      </w:tr>
      <w:tr w:rsidR="001E7476" w:rsidRPr="001E7476" w14:paraId="084602FB" w14:textId="77777777" w:rsidTr="00BF579B">
        <w:tc>
          <w:tcPr>
            <w:tcW w:w="2977" w:type="dxa"/>
            <w:tcBorders>
              <w:bottom w:val="single" w:sz="4" w:space="0" w:color="auto"/>
            </w:tcBorders>
            <w:shd w:val="clear" w:color="auto" w:fill="FFFFFF" w:themeFill="background1"/>
            <w:vAlign w:val="center"/>
          </w:tcPr>
          <w:p w14:paraId="5F4F07F1" w14:textId="77777777" w:rsidR="001E7476" w:rsidRPr="001E7476" w:rsidRDefault="001E7476" w:rsidP="001E7476">
            <w:pPr>
              <w:jc w:val="both"/>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Mandioca</w:t>
            </w:r>
          </w:p>
        </w:tc>
        <w:tc>
          <w:tcPr>
            <w:tcW w:w="1606" w:type="dxa"/>
            <w:tcBorders>
              <w:bottom w:val="single" w:sz="4" w:space="0" w:color="auto"/>
            </w:tcBorders>
            <w:shd w:val="clear" w:color="auto" w:fill="FFFFFF" w:themeFill="background1"/>
            <w:vAlign w:val="center"/>
          </w:tcPr>
          <w:p w14:paraId="75F0842F"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0,0</w:t>
            </w:r>
          </w:p>
        </w:tc>
        <w:tc>
          <w:tcPr>
            <w:tcW w:w="1607" w:type="dxa"/>
            <w:tcBorders>
              <w:bottom w:val="single" w:sz="4" w:space="0" w:color="auto"/>
            </w:tcBorders>
            <w:shd w:val="clear" w:color="auto" w:fill="FFFFFF" w:themeFill="background1"/>
            <w:vAlign w:val="center"/>
          </w:tcPr>
          <w:p w14:paraId="270C04E6"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0,0</w:t>
            </w:r>
          </w:p>
        </w:tc>
        <w:tc>
          <w:tcPr>
            <w:tcW w:w="1607" w:type="dxa"/>
            <w:tcBorders>
              <w:bottom w:val="single" w:sz="4" w:space="0" w:color="auto"/>
            </w:tcBorders>
            <w:shd w:val="clear" w:color="auto" w:fill="FFFFFF" w:themeFill="background1"/>
            <w:vAlign w:val="center"/>
          </w:tcPr>
          <w:p w14:paraId="1324AEEB"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0,0</w:t>
            </w:r>
          </w:p>
        </w:tc>
        <w:tc>
          <w:tcPr>
            <w:tcW w:w="1318" w:type="dxa"/>
            <w:tcBorders>
              <w:bottom w:val="single" w:sz="4" w:space="0" w:color="auto"/>
            </w:tcBorders>
            <w:shd w:val="clear" w:color="auto" w:fill="FFFFFF" w:themeFill="background1"/>
          </w:tcPr>
          <w:p w14:paraId="01572C2A" w14:textId="77777777" w:rsidR="001E7476" w:rsidRPr="001E7476" w:rsidRDefault="001E7476" w:rsidP="001E7476">
            <w:pPr>
              <w:jc w:val="center"/>
              <w:rPr>
                <w:rFonts w:ascii="Times New Roman" w:eastAsia="Times New Roman" w:hAnsi="Times New Roman"/>
                <w:bCs/>
                <w:color w:val="000000" w:themeColor="text1"/>
                <w:sz w:val="24"/>
                <w:szCs w:val="24"/>
                <w:shd w:val="clear" w:color="auto" w:fill="FFFFFF"/>
              </w:rPr>
            </w:pPr>
            <w:r w:rsidRPr="001E7476">
              <w:rPr>
                <w:rFonts w:ascii="Times New Roman" w:eastAsia="Times New Roman" w:hAnsi="Times New Roman"/>
                <w:bCs/>
                <w:color w:val="000000" w:themeColor="text1"/>
                <w:sz w:val="24"/>
                <w:szCs w:val="24"/>
                <w:shd w:val="clear" w:color="auto" w:fill="FFFFFF"/>
              </w:rPr>
              <w:t>0,8</w:t>
            </w:r>
          </w:p>
        </w:tc>
      </w:tr>
      <w:tr w:rsidR="001E7476" w:rsidRPr="001E7476" w14:paraId="65A176F3" w14:textId="77777777" w:rsidTr="0066309F">
        <w:tc>
          <w:tcPr>
            <w:tcW w:w="2977" w:type="dxa"/>
            <w:tcBorders>
              <w:top w:val="single" w:sz="4" w:space="0" w:color="auto"/>
              <w:bottom w:val="single" w:sz="4" w:space="0" w:color="auto"/>
            </w:tcBorders>
            <w:shd w:val="clear" w:color="auto" w:fill="F2F2F2" w:themeFill="background1" w:themeFillShade="F2"/>
            <w:vAlign w:val="center"/>
          </w:tcPr>
          <w:p w14:paraId="00ED01C0" w14:textId="6EA3404C" w:rsidR="001E7476" w:rsidRPr="001E7476" w:rsidRDefault="00A41A7C" w:rsidP="001E7476">
            <w:pPr>
              <w:jc w:val="both"/>
              <w:rPr>
                <w:rFonts w:ascii="Times New Roman" w:eastAsia="Times New Roman" w:hAnsi="Times New Roman"/>
                <w:bCs/>
                <w:color w:val="000000" w:themeColor="text1"/>
                <w:sz w:val="24"/>
                <w:szCs w:val="24"/>
                <w:shd w:val="clear" w:color="auto" w:fill="FFFFFF"/>
              </w:rPr>
            </w:pPr>
            <w:r w:rsidRPr="00C728F8">
              <w:rPr>
                <w:rFonts w:ascii="Times New Roman" w:hAnsi="Times New Roman"/>
                <w:color w:val="000000" w:themeColor="text1"/>
                <w:sz w:val="24"/>
                <w:szCs w:val="24"/>
              </w:rPr>
              <w:t>Não Comercializáveis</w:t>
            </w:r>
            <w:r>
              <w:rPr>
                <w:rFonts w:ascii="Times New Roman" w:hAnsi="Times New Roman"/>
                <w:color w:val="000000" w:themeColor="text1"/>
                <w:sz w:val="24"/>
                <w:szCs w:val="24"/>
              </w:rPr>
              <w:t>*</w:t>
            </w:r>
          </w:p>
        </w:tc>
        <w:tc>
          <w:tcPr>
            <w:tcW w:w="1606" w:type="dxa"/>
            <w:tcBorders>
              <w:top w:val="single" w:sz="4" w:space="0" w:color="auto"/>
              <w:bottom w:val="single" w:sz="4" w:space="0" w:color="auto"/>
            </w:tcBorders>
            <w:shd w:val="clear" w:color="auto" w:fill="F2F2F2" w:themeFill="background1" w:themeFillShade="F2"/>
            <w:vAlign w:val="center"/>
          </w:tcPr>
          <w:p w14:paraId="1F68C1F6" w14:textId="77777777" w:rsidR="001E7476" w:rsidRPr="0066309F" w:rsidRDefault="001E7476" w:rsidP="0066309F">
            <w:pPr>
              <w:jc w:val="center"/>
              <w:rPr>
                <w:rFonts w:ascii="Times New Roman" w:hAnsi="Times New Roman"/>
                <w:sz w:val="22"/>
                <w:szCs w:val="22"/>
              </w:rPr>
            </w:pPr>
            <w:r w:rsidRPr="0066309F">
              <w:rPr>
                <w:rFonts w:ascii="Times New Roman" w:hAnsi="Times New Roman"/>
                <w:sz w:val="22"/>
                <w:szCs w:val="22"/>
              </w:rPr>
              <w:t>0,7</w:t>
            </w:r>
          </w:p>
        </w:tc>
        <w:tc>
          <w:tcPr>
            <w:tcW w:w="1607" w:type="dxa"/>
            <w:tcBorders>
              <w:top w:val="single" w:sz="4" w:space="0" w:color="auto"/>
              <w:bottom w:val="single" w:sz="4" w:space="0" w:color="auto"/>
            </w:tcBorders>
            <w:shd w:val="clear" w:color="auto" w:fill="F2F2F2" w:themeFill="background1" w:themeFillShade="F2"/>
            <w:vAlign w:val="center"/>
          </w:tcPr>
          <w:p w14:paraId="10E5B3BB" w14:textId="77777777" w:rsidR="001E7476" w:rsidRPr="0066309F" w:rsidRDefault="001E7476" w:rsidP="0066309F">
            <w:pPr>
              <w:jc w:val="center"/>
              <w:rPr>
                <w:rFonts w:ascii="Times New Roman" w:hAnsi="Times New Roman"/>
                <w:sz w:val="22"/>
                <w:szCs w:val="22"/>
              </w:rPr>
            </w:pPr>
            <w:r w:rsidRPr="0066309F">
              <w:rPr>
                <w:rFonts w:ascii="Times New Roman" w:hAnsi="Times New Roman"/>
                <w:sz w:val="22"/>
                <w:szCs w:val="22"/>
              </w:rPr>
              <w:t>0,2</w:t>
            </w:r>
          </w:p>
        </w:tc>
        <w:tc>
          <w:tcPr>
            <w:tcW w:w="1607" w:type="dxa"/>
            <w:tcBorders>
              <w:top w:val="single" w:sz="4" w:space="0" w:color="auto"/>
              <w:bottom w:val="single" w:sz="4" w:space="0" w:color="auto"/>
            </w:tcBorders>
            <w:shd w:val="clear" w:color="auto" w:fill="F2F2F2" w:themeFill="background1" w:themeFillShade="F2"/>
            <w:vAlign w:val="center"/>
          </w:tcPr>
          <w:p w14:paraId="572CBA7D" w14:textId="77777777" w:rsidR="001E7476" w:rsidRPr="0066309F" w:rsidRDefault="001E7476" w:rsidP="0066309F">
            <w:pPr>
              <w:jc w:val="center"/>
              <w:rPr>
                <w:rFonts w:ascii="Times New Roman" w:hAnsi="Times New Roman"/>
                <w:sz w:val="22"/>
                <w:szCs w:val="22"/>
              </w:rPr>
            </w:pPr>
            <w:r w:rsidRPr="0066309F">
              <w:rPr>
                <w:rFonts w:ascii="Times New Roman" w:hAnsi="Times New Roman"/>
                <w:sz w:val="22"/>
                <w:szCs w:val="22"/>
              </w:rPr>
              <w:t>0,5</w:t>
            </w:r>
          </w:p>
        </w:tc>
        <w:tc>
          <w:tcPr>
            <w:tcW w:w="1318" w:type="dxa"/>
            <w:tcBorders>
              <w:top w:val="single" w:sz="4" w:space="0" w:color="auto"/>
              <w:bottom w:val="single" w:sz="4" w:space="0" w:color="auto"/>
            </w:tcBorders>
            <w:shd w:val="clear" w:color="auto" w:fill="F2F2F2" w:themeFill="background1" w:themeFillShade="F2"/>
            <w:vAlign w:val="center"/>
          </w:tcPr>
          <w:p w14:paraId="69FB3808" w14:textId="77777777" w:rsidR="001E7476" w:rsidRPr="0066309F" w:rsidRDefault="001E7476" w:rsidP="0066309F">
            <w:pPr>
              <w:jc w:val="center"/>
              <w:rPr>
                <w:rFonts w:ascii="Times New Roman" w:hAnsi="Times New Roman"/>
                <w:sz w:val="22"/>
                <w:szCs w:val="22"/>
              </w:rPr>
            </w:pPr>
            <w:r w:rsidRPr="0066309F">
              <w:rPr>
                <w:rFonts w:ascii="Times New Roman" w:hAnsi="Times New Roman"/>
                <w:sz w:val="22"/>
                <w:szCs w:val="22"/>
              </w:rPr>
              <w:t>6,0</w:t>
            </w:r>
          </w:p>
        </w:tc>
      </w:tr>
    </w:tbl>
    <w:p w14:paraId="7E5D45A1" w14:textId="5F08DCCC" w:rsidR="001E7476" w:rsidRPr="001E7476" w:rsidRDefault="001E7476" w:rsidP="001E7476">
      <w:pPr>
        <w:spacing w:after="0" w:line="240" w:lineRule="auto"/>
        <w:jc w:val="both"/>
        <w:rPr>
          <w:rFonts w:ascii="Times New Roman" w:eastAsia="Times New Roman" w:hAnsi="Times New Roman" w:cs="Times New Roman"/>
          <w:bCs/>
          <w:color w:val="000000" w:themeColor="text1"/>
          <w:sz w:val="24"/>
          <w:szCs w:val="24"/>
          <w:shd w:val="clear" w:color="auto" w:fill="FFFFFF"/>
        </w:rPr>
      </w:pPr>
      <w:r w:rsidRPr="001E7476">
        <w:rPr>
          <w:rFonts w:ascii="Times New Roman" w:eastAsia="Times New Roman" w:hAnsi="Times New Roman" w:cs="Times New Roman"/>
          <w:b/>
          <w:color w:val="000000" w:themeColor="text1"/>
          <w:sz w:val="24"/>
          <w:szCs w:val="24"/>
          <w:shd w:val="clear" w:color="auto" w:fill="FFFFFF"/>
        </w:rPr>
        <w:t>Fonte:</w:t>
      </w:r>
      <w:r w:rsidRPr="001E7476">
        <w:rPr>
          <w:rFonts w:ascii="Times New Roman" w:eastAsia="Times New Roman" w:hAnsi="Times New Roman" w:cs="Times New Roman"/>
          <w:bCs/>
          <w:color w:val="000000" w:themeColor="text1"/>
          <w:sz w:val="24"/>
          <w:szCs w:val="24"/>
          <w:shd w:val="clear" w:color="auto" w:fill="FFFFFF"/>
        </w:rPr>
        <w:t xml:space="preserve"> </w:t>
      </w:r>
      <w:r w:rsidR="00814DD5" w:rsidRPr="001E7476">
        <w:rPr>
          <w:rFonts w:ascii="Times New Roman" w:eastAsia="Times New Roman" w:hAnsi="Times New Roman" w:cs="Times New Roman"/>
          <w:bCs/>
          <w:color w:val="000000" w:themeColor="text1"/>
          <w:sz w:val="24"/>
          <w:szCs w:val="24"/>
          <w:shd w:val="clear" w:color="auto" w:fill="FFFFFF"/>
        </w:rPr>
        <w:t xml:space="preserve">BRASIL </w:t>
      </w:r>
      <w:r w:rsidR="00814DD5" w:rsidRPr="008B1EDC">
        <w:rPr>
          <w:rFonts w:ascii="Times New Roman" w:eastAsia="Times New Roman" w:hAnsi="Times New Roman" w:cs="Times New Roman"/>
          <w:bCs/>
          <w:color w:val="000000" w:themeColor="text1"/>
          <w:sz w:val="24"/>
          <w:szCs w:val="24"/>
          <w:shd w:val="clear" w:color="auto" w:fill="FFFFFF"/>
        </w:rPr>
        <w:t>(2022)</w:t>
      </w:r>
      <w:r w:rsidR="00814DD5">
        <w:rPr>
          <w:rFonts w:ascii="Times New Roman" w:eastAsia="Times New Roman" w:hAnsi="Times New Roman" w:cs="Times New Roman"/>
          <w:bCs/>
          <w:color w:val="000000" w:themeColor="text1"/>
          <w:sz w:val="24"/>
          <w:szCs w:val="24"/>
          <w:shd w:val="clear" w:color="auto" w:fill="FFFFFF"/>
        </w:rPr>
        <w:t>;</w:t>
      </w:r>
      <w:r w:rsidR="00814DD5" w:rsidRPr="001E7476">
        <w:rPr>
          <w:rFonts w:ascii="Times New Roman" w:eastAsia="Times New Roman" w:hAnsi="Times New Roman" w:cs="Times New Roman"/>
          <w:bCs/>
          <w:color w:val="000000" w:themeColor="text1"/>
          <w:sz w:val="24"/>
          <w:szCs w:val="24"/>
          <w:shd w:val="clear" w:color="auto" w:fill="FFFFFF"/>
        </w:rPr>
        <w:t xml:space="preserve"> </w:t>
      </w:r>
      <w:r w:rsidRPr="00CB3732">
        <w:rPr>
          <w:rFonts w:ascii="Times New Roman" w:eastAsia="Times New Roman" w:hAnsi="Times New Roman" w:cs="Times New Roman"/>
          <w:bCs/>
          <w:color w:val="000000" w:themeColor="text1"/>
          <w:sz w:val="24"/>
          <w:szCs w:val="24"/>
          <w:shd w:val="clear" w:color="auto" w:fill="FFFFFF"/>
        </w:rPr>
        <w:t>IBGE (diversas publicações).</w:t>
      </w:r>
      <w:r w:rsidRPr="001E7476">
        <w:rPr>
          <w:rFonts w:ascii="Times New Roman" w:eastAsia="Times New Roman" w:hAnsi="Times New Roman" w:cs="Times New Roman"/>
          <w:bCs/>
          <w:color w:val="000000" w:themeColor="text1"/>
          <w:sz w:val="24"/>
          <w:szCs w:val="24"/>
          <w:shd w:val="clear" w:color="auto" w:fill="FFFFFF"/>
        </w:rPr>
        <w:t xml:space="preserve"> * Valores médios, exceto %IPAD, que é a soma.</w:t>
      </w:r>
    </w:p>
    <w:p w14:paraId="07E68C9B" w14:textId="2652C577" w:rsidR="001E7476" w:rsidRDefault="001E7476" w:rsidP="001E7476">
      <w:pPr>
        <w:pStyle w:val="NormalWeb"/>
        <w:shd w:val="clear" w:color="auto" w:fill="FFFFFF"/>
        <w:spacing w:before="0" w:after="0"/>
        <w:ind w:firstLine="708"/>
        <w:jc w:val="both"/>
        <w:textAlignment w:val="baseline"/>
        <w:rPr>
          <w:bCs/>
          <w:color w:val="000000" w:themeColor="text1"/>
          <w:szCs w:val="24"/>
          <w:shd w:val="clear" w:color="auto" w:fill="FFFFFF"/>
        </w:rPr>
      </w:pPr>
      <w:r>
        <w:rPr>
          <w:bCs/>
          <w:color w:val="000000" w:themeColor="text1"/>
          <w:szCs w:val="24"/>
          <w:shd w:val="clear" w:color="auto" w:fill="FFFFFF"/>
        </w:rPr>
        <w:t>As cadeias da Tabela 3 representaram 84,6% da IPAD, entre 2007 e 2019, lembrando que alimentos de outras matérias primas agrícolas ou mistos não foram considerados. Os comercializáveis foram responsáveis por 59,1% da IPAD, por serem em número expressivo e por algumas de suas cadeias, em especial bovinocultura de corte, trigo e avicultura de corte, apresentarem grande participação nos gastos dos consumidores. Isoladamente, a cadeia que mais contribuiu para a IPAD foi a bovinocultura de corte, com 28,7%, bem como apresentou a maior</w:t>
      </w:r>
      <w:r w:rsidR="00132487">
        <w:rPr>
          <w:bCs/>
          <w:color w:val="000000" w:themeColor="text1"/>
          <w:szCs w:val="24"/>
          <w:shd w:val="clear" w:color="auto" w:fill="FFFFFF"/>
        </w:rPr>
        <w:t xml:space="preserve"> variação de preços, de 281,2%.</w:t>
      </w:r>
    </w:p>
    <w:p w14:paraId="1930F66F" w14:textId="77777777" w:rsidR="00132487" w:rsidRDefault="00132487" w:rsidP="00132487">
      <w:pPr>
        <w:pStyle w:val="NormalWeb"/>
        <w:shd w:val="clear" w:color="auto" w:fill="FFFFFF"/>
        <w:spacing w:before="0" w:after="0"/>
        <w:ind w:firstLine="708"/>
        <w:jc w:val="both"/>
        <w:textAlignment w:val="baseline"/>
        <w:rPr>
          <w:bCs/>
          <w:color w:val="000000" w:themeColor="text1"/>
          <w:szCs w:val="24"/>
          <w:shd w:val="clear" w:color="auto" w:fill="FFFFFF"/>
        </w:rPr>
      </w:pPr>
      <w:r>
        <w:rPr>
          <w:bCs/>
          <w:color w:val="000000" w:themeColor="text1"/>
          <w:szCs w:val="24"/>
          <w:shd w:val="clear" w:color="auto" w:fill="FFFFFF"/>
        </w:rPr>
        <w:t xml:space="preserve">Na média aritmética simples, a variação de preços dos comercializáveis foi a menor dos três grupos. Neste caso, embora o valor médio de variação de preços de todas as suas cadeias tenha se situado entre os valores do IPCA e do IPAD, predominaram as cadeias com variações relativamente baixa de preços, abaixo do IPCA, em número de seis. Três tiveram variações relativamente média de preços, entre o IPCA e o IPAD e duas, bovinocultura de corte e cebola, relativamente alta, bem acima do IPAD. Aliás, se estas duas últimas cadeias fossem </w:t>
      </w:r>
      <w:r>
        <w:rPr>
          <w:bCs/>
          <w:color w:val="000000" w:themeColor="text1"/>
          <w:szCs w:val="24"/>
          <w:shd w:val="clear" w:color="auto" w:fill="FFFFFF"/>
        </w:rPr>
        <w:lastRenderedPageBreak/>
        <w:t>desconsideradas, a média de variação de preços dos alimentos dos comercializáveis cairia para 99,5%, abaixo do IPCA, de 2007 a 2019.</w:t>
      </w:r>
    </w:p>
    <w:p w14:paraId="32ACD64C" w14:textId="77777777" w:rsidR="001E7476" w:rsidRPr="001E7476" w:rsidRDefault="001E7476" w:rsidP="001E7476">
      <w:pPr>
        <w:spacing w:after="0" w:line="240" w:lineRule="auto"/>
        <w:jc w:val="both"/>
        <w:textAlignment w:val="baseline"/>
        <w:rPr>
          <w:rFonts w:ascii="Times New Roman" w:eastAsia="Times New Roman" w:hAnsi="Times New Roman" w:cs="Times New Roman"/>
          <w:bCs/>
          <w:color w:val="000000" w:themeColor="text1"/>
          <w:sz w:val="24"/>
          <w:szCs w:val="24"/>
          <w:shd w:val="clear" w:color="auto" w:fill="FFFFFF"/>
        </w:rPr>
      </w:pPr>
      <w:bookmarkStart w:id="4" w:name="_Hlk125017971"/>
      <w:r w:rsidRPr="001E7476">
        <w:rPr>
          <w:rFonts w:ascii="Times New Roman" w:eastAsia="Times New Roman" w:hAnsi="Times New Roman" w:cs="Times New Roman"/>
          <w:b/>
          <w:color w:val="000000" w:themeColor="text1"/>
          <w:sz w:val="24"/>
          <w:szCs w:val="24"/>
          <w:shd w:val="clear" w:color="auto" w:fill="FFFFFF"/>
        </w:rPr>
        <w:t>Tabela 3.</w:t>
      </w:r>
      <w:r w:rsidRPr="001E7476">
        <w:rPr>
          <w:rFonts w:ascii="Times New Roman" w:eastAsia="Times New Roman" w:hAnsi="Times New Roman" w:cs="Times New Roman"/>
          <w:bCs/>
          <w:color w:val="000000" w:themeColor="text1"/>
          <w:sz w:val="24"/>
          <w:szCs w:val="24"/>
          <w:shd w:val="clear" w:color="auto" w:fill="FFFFFF"/>
        </w:rPr>
        <w:t xml:space="preserve"> Variação de preços e contribuição para a inflação da alimentação no domicílio de alimentos de cadeias agroalimentares, Brasil, 2007 a 2019 e 2020 a 2021.</w:t>
      </w:r>
    </w:p>
    <w:tbl>
      <w:tblPr>
        <w:tblStyle w:val="Tabelacomgrade"/>
        <w:tblW w:w="9072" w:type="dxa"/>
        <w:tblLayout w:type="fixed"/>
        <w:tblLook w:val="04A0" w:firstRow="1" w:lastRow="0" w:firstColumn="1" w:lastColumn="0" w:noHBand="0" w:noVBand="1"/>
      </w:tblPr>
      <w:tblGrid>
        <w:gridCol w:w="2948"/>
        <w:gridCol w:w="828"/>
        <w:gridCol w:w="828"/>
        <w:gridCol w:w="828"/>
        <w:gridCol w:w="828"/>
        <w:gridCol w:w="970"/>
        <w:gridCol w:w="921"/>
        <w:gridCol w:w="921"/>
      </w:tblGrid>
      <w:tr w:rsidR="001E7476" w:rsidRPr="00C766C5" w14:paraId="4D21696B" w14:textId="77777777" w:rsidTr="00C90EAF">
        <w:trPr>
          <w:trHeight w:val="227"/>
        </w:trPr>
        <w:tc>
          <w:tcPr>
            <w:tcW w:w="2948" w:type="dxa"/>
            <w:vMerge w:val="restart"/>
            <w:tcBorders>
              <w:top w:val="single" w:sz="4" w:space="0" w:color="auto"/>
              <w:left w:val="nil"/>
              <w:right w:val="nil"/>
            </w:tcBorders>
            <w:vAlign w:val="center"/>
          </w:tcPr>
          <w:bookmarkEnd w:id="4"/>
          <w:p w14:paraId="2BA60018"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Cadeia</w:t>
            </w:r>
          </w:p>
        </w:tc>
        <w:tc>
          <w:tcPr>
            <w:tcW w:w="4282" w:type="dxa"/>
            <w:gridSpan w:val="5"/>
            <w:tcBorders>
              <w:top w:val="single" w:sz="4" w:space="0" w:color="auto"/>
              <w:left w:val="nil"/>
              <w:bottom w:val="nil"/>
              <w:right w:val="single" w:sz="4" w:space="0" w:color="auto"/>
            </w:tcBorders>
            <w:vAlign w:val="center"/>
          </w:tcPr>
          <w:p w14:paraId="1A5E746F"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Variação Preços 2007-19</w:t>
            </w:r>
          </w:p>
        </w:tc>
        <w:tc>
          <w:tcPr>
            <w:tcW w:w="1842" w:type="dxa"/>
            <w:gridSpan w:val="2"/>
            <w:tcBorders>
              <w:top w:val="single" w:sz="4" w:space="0" w:color="auto"/>
              <w:left w:val="single" w:sz="4" w:space="0" w:color="auto"/>
              <w:bottom w:val="nil"/>
              <w:right w:val="nil"/>
            </w:tcBorders>
            <w:vAlign w:val="center"/>
          </w:tcPr>
          <w:p w14:paraId="34A58664" w14:textId="493D8999" w:rsidR="001E7476" w:rsidRPr="00C766C5" w:rsidRDefault="001E7476" w:rsidP="001E7476">
            <w:pP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Var Preç</w:t>
            </w:r>
            <w:r w:rsidR="00B15EDC" w:rsidRPr="00C766C5">
              <w:rPr>
                <w:rFonts w:ascii="Times New Roman" w:eastAsia="Times New Roman" w:hAnsi="Times New Roman"/>
                <w:bCs/>
                <w:color w:val="000000" w:themeColor="text1"/>
                <w:sz w:val="22"/>
                <w:szCs w:val="22"/>
                <w:shd w:val="clear" w:color="auto" w:fill="FFFFFF"/>
              </w:rPr>
              <w:t>.</w:t>
            </w:r>
            <w:r w:rsidRPr="00C766C5">
              <w:rPr>
                <w:rFonts w:ascii="Times New Roman" w:eastAsia="Times New Roman" w:hAnsi="Times New Roman"/>
                <w:bCs/>
                <w:color w:val="000000" w:themeColor="text1"/>
                <w:sz w:val="22"/>
                <w:szCs w:val="22"/>
                <w:shd w:val="clear" w:color="auto" w:fill="FFFFFF"/>
              </w:rPr>
              <w:t xml:space="preserve"> 2020-21</w:t>
            </w:r>
          </w:p>
        </w:tc>
      </w:tr>
      <w:tr w:rsidR="001E7476" w:rsidRPr="00C766C5" w14:paraId="20D69028" w14:textId="77777777" w:rsidTr="00C90EAF">
        <w:trPr>
          <w:trHeight w:val="227"/>
        </w:trPr>
        <w:tc>
          <w:tcPr>
            <w:tcW w:w="2948" w:type="dxa"/>
            <w:vMerge/>
            <w:tcBorders>
              <w:left w:val="nil"/>
              <w:bottom w:val="nil"/>
              <w:right w:val="nil"/>
            </w:tcBorders>
            <w:vAlign w:val="center"/>
          </w:tcPr>
          <w:p w14:paraId="15D60577" w14:textId="77777777" w:rsidR="001E7476" w:rsidRPr="00C766C5" w:rsidRDefault="001E7476" w:rsidP="001E7476">
            <w:pPr>
              <w:rPr>
                <w:rFonts w:ascii="Times New Roman" w:eastAsia="Times New Roman" w:hAnsi="Times New Roman"/>
                <w:bCs/>
                <w:color w:val="000000" w:themeColor="text1"/>
                <w:sz w:val="22"/>
                <w:szCs w:val="22"/>
                <w:shd w:val="clear" w:color="auto" w:fill="FFFFFF"/>
              </w:rPr>
            </w:pPr>
          </w:p>
        </w:tc>
        <w:tc>
          <w:tcPr>
            <w:tcW w:w="828" w:type="dxa"/>
            <w:tcBorders>
              <w:top w:val="single" w:sz="4" w:space="0" w:color="auto"/>
              <w:left w:val="nil"/>
              <w:bottom w:val="nil"/>
              <w:right w:val="nil"/>
            </w:tcBorders>
            <w:vAlign w:val="center"/>
          </w:tcPr>
          <w:p w14:paraId="4E9C66AB"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Total</w:t>
            </w:r>
          </w:p>
        </w:tc>
        <w:tc>
          <w:tcPr>
            <w:tcW w:w="828" w:type="dxa"/>
            <w:tcBorders>
              <w:top w:val="single" w:sz="4" w:space="0" w:color="auto"/>
              <w:left w:val="nil"/>
              <w:bottom w:val="nil"/>
              <w:right w:val="nil"/>
            </w:tcBorders>
            <w:vAlign w:val="center"/>
          </w:tcPr>
          <w:p w14:paraId="611B900D"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Média</w:t>
            </w:r>
          </w:p>
        </w:tc>
        <w:tc>
          <w:tcPr>
            <w:tcW w:w="828" w:type="dxa"/>
            <w:tcBorders>
              <w:top w:val="single" w:sz="4" w:space="0" w:color="auto"/>
              <w:left w:val="nil"/>
              <w:bottom w:val="nil"/>
              <w:right w:val="nil"/>
            </w:tcBorders>
          </w:tcPr>
          <w:p w14:paraId="79722C12"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DP</w:t>
            </w:r>
          </w:p>
        </w:tc>
        <w:tc>
          <w:tcPr>
            <w:tcW w:w="828" w:type="dxa"/>
            <w:tcBorders>
              <w:left w:val="nil"/>
              <w:bottom w:val="nil"/>
              <w:right w:val="nil"/>
            </w:tcBorders>
          </w:tcPr>
          <w:p w14:paraId="2C119737"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CV</w:t>
            </w:r>
          </w:p>
        </w:tc>
        <w:tc>
          <w:tcPr>
            <w:tcW w:w="970" w:type="dxa"/>
            <w:tcBorders>
              <w:left w:val="nil"/>
              <w:bottom w:val="nil"/>
              <w:right w:val="single" w:sz="4" w:space="0" w:color="auto"/>
            </w:tcBorders>
          </w:tcPr>
          <w:p w14:paraId="39E2E961"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CIPAD</w:t>
            </w:r>
          </w:p>
        </w:tc>
        <w:tc>
          <w:tcPr>
            <w:tcW w:w="921" w:type="dxa"/>
            <w:tcBorders>
              <w:left w:val="single" w:sz="4" w:space="0" w:color="auto"/>
              <w:bottom w:val="nil"/>
              <w:right w:val="nil"/>
            </w:tcBorders>
          </w:tcPr>
          <w:p w14:paraId="51200441"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Média</w:t>
            </w:r>
          </w:p>
        </w:tc>
        <w:tc>
          <w:tcPr>
            <w:tcW w:w="921" w:type="dxa"/>
            <w:tcBorders>
              <w:left w:val="nil"/>
              <w:bottom w:val="nil"/>
              <w:right w:val="nil"/>
            </w:tcBorders>
          </w:tcPr>
          <w:p w14:paraId="54501F88"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CIPAD</w:t>
            </w:r>
          </w:p>
        </w:tc>
      </w:tr>
      <w:tr w:rsidR="001E7476" w:rsidRPr="00C766C5" w14:paraId="2EF84710" w14:textId="77777777" w:rsidTr="00C90EAF">
        <w:trPr>
          <w:trHeight w:val="227"/>
        </w:trPr>
        <w:tc>
          <w:tcPr>
            <w:tcW w:w="2948" w:type="dxa"/>
            <w:tcBorders>
              <w:top w:val="single" w:sz="4" w:space="0" w:color="auto"/>
              <w:left w:val="nil"/>
              <w:bottom w:val="nil"/>
              <w:right w:val="nil"/>
            </w:tcBorders>
            <w:vAlign w:val="center"/>
          </w:tcPr>
          <w:p w14:paraId="626509A6" w14:textId="77777777" w:rsidR="001E7476" w:rsidRPr="00C766C5" w:rsidRDefault="001E7476" w:rsidP="001E7476">
            <w:pP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Cana-de-açúcar</w:t>
            </w:r>
          </w:p>
        </w:tc>
        <w:tc>
          <w:tcPr>
            <w:tcW w:w="828" w:type="dxa"/>
            <w:tcBorders>
              <w:top w:val="single" w:sz="4" w:space="0" w:color="auto"/>
              <w:left w:val="nil"/>
              <w:bottom w:val="nil"/>
              <w:right w:val="nil"/>
            </w:tcBorders>
            <w:vAlign w:val="center"/>
          </w:tcPr>
          <w:p w14:paraId="59300B35"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73,0</w:t>
            </w:r>
          </w:p>
        </w:tc>
        <w:tc>
          <w:tcPr>
            <w:tcW w:w="828" w:type="dxa"/>
            <w:tcBorders>
              <w:top w:val="single" w:sz="4" w:space="0" w:color="auto"/>
              <w:left w:val="nil"/>
              <w:bottom w:val="nil"/>
              <w:right w:val="nil"/>
            </w:tcBorders>
            <w:vAlign w:val="center"/>
          </w:tcPr>
          <w:p w14:paraId="232ACB4B"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5,6</w:t>
            </w:r>
          </w:p>
        </w:tc>
        <w:tc>
          <w:tcPr>
            <w:tcW w:w="828" w:type="dxa"/>
            <w:tcBorders>
              <w:top w:val="single" w:sz="4" w:space="0" w:color="auto"/>
              <w:left w:val="nil"/>
              <w:bottom w:val="nil"/>
              <w:right w:val="nil"/>
            </w:tcBorders>
            <w:vAlign w:val="center"/>
          </w:tcPr>
          <w:p w14:paraId="3BC5CA52"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24,7</w:t>
            </w:r>
          </w:p>
        </w:tc>
        <w:tc>
          <w:tcPr>
            <w:tcW w:w="828" w:type="dxa"/>
            <w:tcBorders>
              <w:top w:val="single" w:sz="4" w:space="0" w:color="auto"/>
              <w:left w:val="nil"/>
              <w:bottom w:val="nil"/>
              <w:right w:val="nil"/>
            </w:tcBorders>
            <w:vAlign w:val="center"/>
          </w:tcPr>
          <w:p w14:paraId="2DEF8FF8"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439,9</w:t>
            </w:r>
          </w:p>
        </w:tc>
        <w:tc>
          <w:tcPr>
            <w:tcW w:w="970" w:type="dxa"/>
            <w:tcBorders>
              <w:top w:val="single" w:sz="4" w:space="0" w:color="auto"/>
              <w:left w:val="nil"/>
              <w:bottom w:val="nil"/>
              <w:right w:val="single" w:sz="4" w:space="0" w:color="auto"/>
            </w:tcBorders>
            <w:vAlign w:val="center"/>
          </w:tcPr>
          <w:p w14:paraId="5A72F150"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1,4</w:t>
            </w:r>
          </w:p>
        </w:tc>
        <w:tc>
          <w:tcPr>
            <w:tcW w:w="921" w:type="dxa"/>
            <w:tcBorders>
              <w:top w:val="single" w:sz="4" w:space="0" w:color="auto"/>
              <w:left w:val="single" w:sz="4" w:space="0" w:color="auto"/>
              <w:bottom w:val="nil"/>
              <w:right w:val="nil"/>
            </w:tcBorders>
            <w:vAlign w:val="center"/>
          </w:tcPr>
          <w:p w14:paraId="06A06A33"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34,5</w:t>
            </w:r>
          </w:p>
        </w:tc>
        <w:tc>
          <w:tcPr>
            <w:tcW w:w="921" w:type="dxa"/>
            <w:tcBorders>
              <w:top w:val="single" w:sz="4" w:space="0" w:color="auto"/>
              <w:left w:val="nil"/>
              <w:bottom w:val="nil"/>
              <w:right w:val="nil"/>
            </w:tcBorders>
            <w:vAlign w:val="center"/>
          </w:tcPr>
          <w:p w14:paraId="5316DBBA"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3,3</w:t>
            </w:r>
          </w:p>
        </w:tc>
      </w:tr>
      <w:tr w:rsidR="001E7476" w:rsidRPr="00C766C5" w14:paraId="13C8C472" w14:textId="77777777" w:rsidTr="00C90EAF">
        <w:trPr>
          <w:trHeight w:val="227"/>
        </w:trPr>
        <w:tc>
          <w:tcPr>
            <w:tcW w:w="2948" w:type="dxa"/>
            <w:tcBorders>
              <w:top w:val="nil"/>
              <w:left w:val="nil"/>
              <w:bottom w:val="nil"/>
              <w:right w:val="nil"/>
            </w:tcBorders>
            <w:vAlign w:val="center"/>
          </w:tcPr>
          <w:p w14:paraId="05CAF826" w14:textId="77777777" w:rsidR="001E7476" w:rsidRPr="00C766C5" w:rsidRDefault="001E7476" w:rsidP="001E7476">
            <w:pP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Café</w:t>
            </w:r>
          </w:p>
        </w:tc>
        <w:tc>
          <w:tcPr>
            <w:tcW w:w="828" w:type="dxa"/>
            <w:tcBorders>
              <w:top w:val="nil"/>
              <w:left w:val="nil"/>
              <w:bottom w:val="nil"/>
              <w:right w:val="nil"/>
            </w:tcBorders>
            <w:vAlign w:val="center"/>
          </w:tcPr>
          <w:p w14:paraId="569E7A48"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101,9</w:t>
            </w:r>
          </w:p>
        </w:tc>
        <w:tc>
          <w:tcPr>
            <w:tcW w:w="828" w:type="dxa"/>
            <w:tcBorders>
              <w:top w:val="nil"/>
              <w:left w:val="nil"/>
              <w:bottom w:val="nil"/>
              <w:right w:val="nil"/>
            </w:tcBorders>
            <w:vAlign w:val="center"/>
          </w:tcPr>
          <w:p w14:paraId="18C60A01"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7,8</w:t>
            </w:r>
          </w:p>
        </w:tc>
        <w:tc>
          <w:tcPr>
            <w:tcW w:w="828" w:type="dxa"/>
            <w:tcBorders>
              <w:top w:val="nil"/>
              <w:left w:val="nil"/>
              <w:bottom w:val="nil"/>
              <w:right w:val="nil"/>
            </w:tcBorders>
            <w:vAlign w:val="center"/>
          </w:tcPr>
          <w:p w14:paraId="007A86C8"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10,2</w:t>
            </w:r>
          </w:p>
        </w:tc>
        <w:tc>
          <w:tcPr>
            <w:tcW w:w="828" w:type="dxa"/>
            <w:tcBorders>
              <w:top w:val="nil"/>
              <w:left w:val="nil"/>
              <w:bottom w:val="nil"/>
              <w:right w:val="nil"/>
            </w:tcBorders>
            <w:vAlign w:val="center"/>
          </w:tcPr>
          <w:p w14:paraId="779165E5"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129,7</w:t>
            </w:r>
          </w:p>
        </w:tc>
        <w:tc>
          <w:tcPr>
            <w:tcW w:w="970" w:type="dxa"/>
            <w:tcBorders>
              <w:top w:val="nil"/>
              <w:left w:val="nil"/>
              <w:bottom w:val="nil"/>
              <w:right w:val="single" w:sz="4" w:space="0" w:color="auto"/>
            </w:tcBorders>
            <w:vAlign w:val="center"/>
          </w:tcPr>
          <w:p w14:paraId="1FFEE7B9"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1,5</w:t>
            </w:r>
          </w:p>
        </w:tc>
        <w:tc>
          <w:tcPr>
            <w:tcW w:w="921" w:type="dxa"/>
            <w:tcBorders>
              <w:top w:val="nil"/>
              <w:left w:val="single" w:sz="4" w:space="0" w:color="auto"/>
              <w:bottom w:val="nil"/>
              <w:right w:val="nil"/>
            </w:tcBorders>
            <w:vAlign w:val="center"/>
          </w:tcPr>
          <w:p w14:paraId="110C6805"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30,3</w:t>
            </w:r>
          </w:p>
        </w:tc>
        <w:tc>
          <w:tcPr>
            <w:tcW w:w="921" w:type="dxa"/>
            <w:tcBorders>
              <w:top w:val="nil"/>
              <w:left w:val="nil"/>
              <w:bottom w:val="nil"/>
              <w:right w:val="nil"/>
            </w:tcBorders>
            <w:vAlign w:val="center"/>
          </w:tcPr>
          <w:p w14:paraId="23FF4A0E"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4,7</w:t>
            </w:r>
          </w:p>
        </w:tc>
      </w:tr>
      <w:tr w:rsidR="001E7476" w:rsidRPr="00C766C5" w14:paraId="61A64BCE" w14:textId="77777777" w:rsidTr="00C90EAF">
        <w:trPr>
          <w:trHeight w:val="227"/>
        </w:trPr>
        <w:tc>
          <w:tcPr>
            <w:tcW w:w="2948" w:type="dxa"/>
            <w:tcBorders>
              <w:top w:val="nil"/>
              <w:left w:val="nil"/>
              <w:bottom w:val="nil"/>
              <w:right w:val="nil"/>
            </w:tcBorders>
            <w:vAlign w:val="center"/>
          </w:tcPr>
          <w:p w14:paraId="1824F639" w14:textId="77777777" w:rsidR="001E7476" w:rsidRPr="00C766C5" w:rsidRDefault="001E7476" w:rsidP="001E7476">
            <w:pP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Soja</w:t>
            </w:r>
          </w:p>
        </w:tc>
        <w:tc>
          <w:tcPr>
            <w:tcW w:w="828" w:type="dxa"/>
            <w:tcBorders>
              <w:top w:val="nil"/>
              <w:left w:val="nil"/>
              <w:bottom w:val="nil"/>
              <w:right w:val="nil"/>
            </w:tcBorders>
            <w:vAlign w:val="center"/>
          </w:tcPr>
          <w:p w14:paraId="5D06B402"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91,2</w:t>
            </w:r>
          </w:p>
        </w:tc>
        <w:tc>
          <w:tcPr>
            <w:tcW w:w="828" w:type="dxa"/>
            <w:tcBorders>
              <w:top w:val="nil"/>
              <w:left w:val="nil"/>
              <w:bottom w:val="nil"/>
              <w:right w:val="nil"/>
            </w:tcBorders>
            <w:vAlign w:val="center"/>
          </w:tcPr>
          <w:p w14:paraId="65349F9E"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7,0</w:t>
            </w:r>
          </w:p>
        </w:tc>
        <w:tc>
          <w:tcPr>
            <w:tcW w:w="828" w:type="dxa"/>
            <w:tcBorders>
              <w:top w:val="nil"/>
              <w:left w:val="nil"/>
              <w:bottom w:val="nil"/>
              <w:right w:val="nil"/>
            </w:tcBorders>
            <w:vAlign w:val="center"/>
          </w:tcPr>
          <w:p w14:paraId="2EDC6A02"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11,2</w:t>
            </w:r>
          </w:p>
        </w:tc>
        <w:tc>
          <w:tcPr>
            <w:tcW w:w="828" w:type="dxa"/>
            <w:tcBorders>
              <w:top w:val="nil"/>
              <w:left w:val="nil"/>
              <w:bottom w:val="nil"/>
              <w:right w:val="nil"/>
            </w:tcBorders>
            <w:vAlign w:val="center"/>
          </w:tcPr>
          <w:p w14:paraId="58DBA0FF"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159,8</w:t>
            </w:r>
          </w:p>
        </w:tc>
        <w:tc>
          <w:tcPr>
            <w:tcW w:w="970" w:type="dxa"/>
            <w:tcBorders>
              <w:top w:val="nil"/>
              <w:left w:val="nil"/>
              <w:bottom w:val="nil"/>
              <w:right w:val="single" w:sz="4" w:space="0" w:color="auto"/>
            </w:tcBorders>
            <w:vAlign w:val="center"/>
          </w:tcPr>
          <w:p w14:paraId="7CBC4168"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2,1</w:t>
            </w:r>
          </w:p>
        </w:tc>
        <w:tc>
          <w:tcPr>
            <w:tcW w:w="921" w:type="dxa"/>
            <w:tcBorders>
              <w:top w:val="nil"/>
              <w:left w:val="single" w:sz="4" w:space="0" w:color="auto"/>
              <w:bottom w:val="nil"/>
              <w:right w:val="nil"/>
            </w:tcBorders>
            <w:vAlign w:val="center"/>
          </w:tcPr>
          <w:p w14:paraId="5D262CC3"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43,4</w:t>
            </w:r>
          </w:p>
        </w:tc>
        <w:tc>
          <w:tcPr>
            <w:tcW w:w="921" w:type="dxa"/>
            <w:tcBorders>
              <w:top w:val="nil"/>
              <w:left w:val="nil"/>
              <w:bottom w:val="nil"/>
              <w:right w:val="nil"/>
            </w:tcBorders>
            <w:vAlign w:val="center"/>
          </w:tcPr>
          <w:p w14:paraId="1C9029F5"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6,2</w:t>
            </w:r>
          </w:p>
        </w:tc>
      </w:tr>
      <w:tr w:rsidR="001E7476" w:rsidRPr="00C766C5" w14:paraId="27FB0871" w14:textId="77777777" w:rsidTr="00C90EAF">
        <w:trPr>
          <w:trHeight w:val="227"/>
        </w:trPr>
        <w:tc>
          <w:tcPr>
            <w:tcW w:w="2948" w:type="dxa"/>
            <w:tcBorders>
              <w:top w:val="nil"/>
              <w:left w:val="nil"/>
              <w:bottom w:val="nil"/>
              <w:right w:val="nil"/>
            </w:tcBorders>
            <w:vAlign w:val="center"/>
          </w:tcPr>
          <w:p w14:paraId="43B719B1" w14:textId="77777777" w:rsidR="001E7476" w:rsidRPr="00C766C5" w:rsidRDefault="001E7476" w:rsidP="001E7476">
            <w:pP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Citros</w:t>
            </w:r>
          </w:p>
        </w:tc>
        <w:tc>
          <w:tcPr>
            <w:tcW w:w="828" w:type="dxa"/>
            <w:tcBorders>
              <w:top w:val="nil"/>
              <w:left w:val="nil"/>
              <w:bottom w:val="nil"/>
              <w:right w:val="nil"/>
            </w:tcBorders>
            <w:vAlign w:val="center"/>
          </w:tcPr>
          <w:p w14:paraId="62617ECE"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97,9</w:t>
            </w:r>
          </w:p>
        </w:tc>
        <w:tc>
          <w:tcPr>
            <w:tcW w:w="828" w:type="dxa"/>
            <w:tcBorders>
              <w:top w:val="nil"/>
              <w:left w:val="nil"/>
              <w:bottom w:val="nil"/>
              <w:right w:val="nil"/>
            </w:tcBorders>
            <w:vAlign w:val="center"/>
          </w:tcPr>
          <w:p w14:paraId="514A8711"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7,5</w:t>
            </w:r>
          </w:p>
        </w:tc>
        <w:tc>
          <w:tcPr>
            <w:tcW w:w="828" w:type="dxa"/>
            <w:tcBorders>
              <w:top w:val="nil"/>
              <w:left w:val="nil"/>
              <w:bottom w:val="nil"/>
              <w:right w:val="nil"/>
            </w:tcBorders>
            <w:vAlign w:val="center"/>
          </w:tcPr>
          <w:p w14:paraId="332C7609"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12,0</w:t>
            </w:r>
          </w:p>
        </w:tc>
        <w:tc>
          <w:tcPr>
            <w:tcW w:w="828" w:type="dxa"/>
            <w:tcBorders>
              <w:top w:val="nil"/>
              <w:left w:val="nil"/>
              <w:bottom w:val="nil"/>
              <w:right w:val="nil"/>
            </w:tcBorders>
            <w:vAlign w:val="center"/>
          </w:tcPr>
          <w:p w14:paraId="4BB90F76"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158,7</w:t>
            </w:r>
          </w:p>
        </w:tc>
        <w:tc>
          <w:tcPr>
            <w:tcW w:w="970" w:type="dxa"/>
            <w:tcBorders>
              <w:top w:val="nil"/>
              <w:left w:val="nil"/>
              <w:bottom w:val="nil"/>
              <w:right w:val="single" w:sz="4" w:space="0" w:color="auto"/>
            </w:tcBorders>
            <w:vAlign w:val="center"/>
          </w:tcPr>
          <w:p w14:paraId="1592F3B1"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1,6</w:t>
            </w:r>
          </w:p>
        </w:tc>
        <w:tc>
          <w:tcPr>
            <w:tcW w:w="921" w:type="dxa"/>
            <w:tcBorders>
              <w:top w:val="nil"/>
              <w:left w:val="single" w:sz="4" w:space="0" w:color="auto"/>
              <w:bottom w:val="nil"/>
              <w:right w:val="nil"/>
            </w:tcBorders>
            <w:vAlign w:val="center"/>
          </w:tcPr>
          <w:p w14:paraId="419B8E44"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13,8</w:t>
            </w:r>
          </w:p>
        </w:tc>
        <w:tc>
          <w:tcPr>
            <w:tcW w:w="921" w:type="dxa"/>
            <w:tcBorders>
              <w:top w:val="nil"/>
              <w:left w:val="nil"/>
              <w:bottom w:val="nil"/>
              <w:right w:val="nil"/>
            </w:tcBorders>
            <w:vAlign w:val="center"/>
          </w:tcPr>
          <w:p w14:paraId="07AD8CB1"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1,1</w:t>
            </w:r>
          </w:p>
        </w:tc>
      </w:tr>
      <w:tr w:rsidR="001E7476" w:rsidRPr="00C766C5" w14:paraId="6D9EF238" w14:textId="77777777" w:rsidTr="00C90EAF">
        <w:trPr>
          <w:trHeight w:val="227"/>
        </w:trPr>
        <w:tc>
          <w:tcPr>
            <w:tcW w:w="2948" w:type="dxa"/>
            <w:tcBorders>
              <w:top w:val="nil"/>
              <w:left w:val="nil"/>
              <w:bottom w:val="nil"/>
              <w:right w:val="nil"/>
            </w:tcBorders>
            <w:vAlign w:val="center"/>
          </w:tcPr>
          <w:p w14:paraId="647F9BFC" w14:textId="77777777" w:rsidR="001E7476" w:rsidRPr="00C766C5" w:rsidRDefault="001E7476" w:rsidP="001E7476">
            <w:pP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Avicultura de Corte</w:t>
            </w:r>
          </w:p>
        </w:tc>
        <w:tc>
          <w:tcPr>
            <w:tcW w:w="828" w:type="dxa"/>
            <w:tcBorders>
              <w:top w:val="nil"/>
              <w:left w:val="nil"/>
              <w:bottom w:val="nil"/>
              <w:right w:val="nil"/>
            </w:tcBorders>
            <w:vAlign w:val="center"/>
          </w:tcPr>
          <w:p w14:paraId="0E8FF096"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119,6</w:t>
            </w:r>
          </w:p>
        </w:tc>
        <w:tc>
          <w:tcPr>
            <w:tcW w:w="828" w:type="dxa"/>
            <w:tcBorders>
              <w:top w:val="nil"/>
              <w:left w:val="nil"/>
              <w:bottom w:val="nil"/>
              <w:right w:val="nil"/>
            </w:tcBorders>
            <w:vAlign w:val="center"/>
          </w:tcPr>
          <w:p w14:paraId="430D5C65"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9,2</w:t>
            </w:r>
          </w:p>
        </w:tc>
        <w:tc>
          <w:tcPr>
            <w:tcW w:w="828" w:type="dxa"/>
            <w:tcBorders>
              <w:top w:val="nil"/>
              <w:left w:val="nil"/>
              <w:bottom w:val="nil"/>
              <w:right w:val="nil"/>
            </w:tcBorders>
            <w:vAlign w:val="center"/>
          </w:tcPr>
          <w:p w14:paraId="729E677B"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8,0</w:t>
            </w:r>
          </w:p>
        </w:tc>
        <w:tc>
          <w:tcPr>
            <w:tcW w:w="828" w:type="dxa"/>
            <w:tcBorders>
              <w:top w:val="nil"/>
              <w:left w:val="nil"/>
              <w:bottom w:val="nil"/>
              <w:right w:val="nil"/>
            </w:tcBorders>
            <w:vAlign w:val="center"/>
          </w:tcPr>
          <w:p w14:paraId="41F4BCE4"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86,8</w:t>
            </w:r>
          </w:p>
        </w:tc>
        <w:tc>
          <w:tcPr>
            <w:tcW w:w="970" w:type="dxa"/>
            <w:tcBorders>
              <w:top w:val="nil"/>
              <w:left w:val="nil"/>
              <w:bottom w:val="nil"/>
              <w:right w:val="single" w:sz="4" w:space="0" w:color="auto"/>
            </w:tcBorders>
            <w:vAlign w:val="center"/>
          </w:tcPr>
          <w:p w14:paraId="64FF3D2F"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4,9</w:t>
            </w:r>
          </w:p>
        </w:tc>
        <w:tc>
          <w:tcPr>
            <w:tcW w:w="921" w:type="dxa"/>
            <w:tcBorders>
              <w:top w:val="nil"/>
              <w:left w:val="single" w:sz="4" w:space="0" w:color="auto"/>
              <w:bottom w:val="nil"/>
              <w:right w:val="nil"/>
            </w:tcBorders>
            <w:vAlign w:val="center"/>
          </w:tcPr>
          <w:p w14:paraId="2EDB236B"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22,6</w:t>
            </w:r>
          </w:p>
        </w:tc>
        <w:tc>
          <w:tcPr>
            <w:tcW w:w="921" w:type="dxa"/>
            <w:tcBorders>
              <w:top w:val="nil"/>
              <w:left w:val="nil"/>
              <w:bottom w:val="nil"/>
              <w:right w:val="nil"/>
            </w:tcBorders>
            <w:vAlign w:val="center"/>
          </w:tcPr>
          <w:p w14:paraId="27EA9691"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10,8</w:t>
            </w:r>
          </w:p>
        </w:tc>
      </w:tr>
      <w:tr w:rsidR="001E7476" w:rsidRPr="00C766C5" w14:paraId="26772B27" w14:textId="77777777" w:rsidTr="00C90EAF">
        <w:trPr>
          <w:trHeight w:val="227"/>
        </w:trPr>
        <w:tc>
          <w:tcPr>
            <w:tcW w:w="2948" w:type="dxa"/>
            <w:tcBorders>
              <w:top w:val="nil"/>
              <w:left w:val="nil"/>
              <w:bottom w:val="nil"/>
              <w:right w:val="nil"/>
            </w:tcBorders>
            <w:vAlign w:val="center"/>
          </w:tcPr>
          <w:p w14:paraId="05BF3B5E" w14:textId="77777777" w:rsidR="001E7476" w:rsidRPr="00C766C5" w:rsidRDefault="001E7476" w:rsidP="001E7476">
            <w:pP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Milho</w:t>
            </w:r>
          </w:p>
        </w:tc>
        <w:tc>
          <w:tcPr>
            <w:tcW w:w="828" w:type="dxa"/>
            <w:tcBorders>
              <w:top w:val="nil"/>
              <w:left w:val="nil"/>
              <w:bottom w:val="nil"/>
              <w:right w:val="nil"/>
            </w:tcBorders>
            <w:vAlign w:val="center"/>
          </w:tcPr>
          <w:p w14:paraId="145543B7"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101,4</w:t>
            </w:r>
          </w:p>
        </w:tc>
        <w:tc>
          <w:tcPr>
            <w:tcW w:w="828" w:type="dxa"/>
            <w:tcBorders>
              <w:top w:val="nil"/>
              <w:left w:val="nil"/>
              <w:bottom w:val="nil"/>
              <w:right w:val="nil"/>
            </w:tcBorders>
            <w:vAlign w:val="center"/>
          </w:tcPr>
          <w:p w14:paraId="261390A9"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7,8</w:t>
            </w:r>
          </w:p>
        </w:tc>
        <w:tc>
          <w:tcPr>
            <w:tcW w:w="828" w:type="dxa"/>
            <w:tcBorders>
              <w:top w:val="nil"/>
              <w:left w:val="nil"/>
              <w:bottom w:val="nil"/>
              <w:right w:val="nil"/>
            </w:tcBorders>
            <w:vAlign w:val="center"/>
          </w:tcPr>
          <w:p w14:paraId="57A15A51"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11,4</w:t>
            </w:r>
          </w:p>
        </w:tc>
        <w:tc>
          <w:tcPr>
            <w:tcW w:w="828" w:type="dxa"/>
            <w:tcBorders>
              <w:top w:val="nil"/>
              <w:left w:val="nil"/>
              <w:bottom w:val="nil"/>
              <w:right w:val="nil"/>
            </w:tcBorders>
            <w:vAlign w:val="center"/>
          </w:tcPr>
          <w:p w14:paraId="6412B4BC"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146,1</w:t>
            </w:r>
          </w:p>
        </w:tc>
        <w:tc>
          <w:tcPr>
            <w:tcW w:w="970" w:type="dxa"/>
            <w:tcBorders>
              <w:top w:val="nil"/>
              <w:left w:val="nil"/>
              <w:bottom w:val="nil"/>
              <w:right w:val="single" w:sz="4" w:space="0" w:color="auto"/>
            </w:tcBorders>
            <w:vAlign w:val="center"/>
          </w:tcPr>
          <w:p w14:paraId="3CAC6BEF"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0,1</w:t>
            </w:r>
          </w:p>
        </w:tc>
        <w:tc>
          <w:tcPr>
            <w:tcW w:w="921" w:type="dxa"/>
            <w:tcBorders>
              <w:top w:val="nil"/>
              <w:left w:val="single" w:sz="4" w:space="0" w:color="auto"/>
              <w:bottom w:val="nil"/>
              <w:right w:val="nil"/>
            </w:tcBorders>
            <w:vAlign w:val="center"/>
          </w:tcPr>
          <w:p w14:paraId="3DB58F49"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13,3</w:t>
            </w:r>
          </w:p>
        </w:tc>
        <w:tc>
          <w:tcPr>
            <w:tcW w:w="921" w:type="dxa"/>
            <w:tcBorders>
              <w:top w:val="nil"/>
              <w:left w:val="nil"/>
              <w:bottom w:val="nil"/>
              <w:right w:val="nil"/>
            </w:tcBorders>
            <w:vAlign w:val="center"/>
          </w:tcPr>
          <w:p w14:paraId="7946A6BA"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0,4</w:t>
            </w:r>
          </w:p>
        </w:tc>
      </w:tr>
      <w:tr w:rsidR="001E7476" w:rsidRPr="00C766C5" w14:paraId="6B21D662" w14:textId="77777777" w:rsidTr="00C90EAF">
        <w:trPr>
          <w:trHeight w:val="227"/>
        </w:trPr>
        <w:tc>
          <w:tcPr>
            <w:tcW w:w="2948" w:type="dxa"/>
            <w:tcBorders>
              <w:top w:val="nil"/>
              <w:left w:val="nil"/>
              <w:bottom w:val="nil"/>
              <w:right w:val="nil"/>
            </w:tcBorders>
            <w:vAlign w:val="center"/>
          </w:tcPr>
          <w:p w14:paraId="44BF3B21" w14:textId="77777777" w:rsidR="001E7476" w:rsidRPr="00C766C5" w:rsidRDefault="001E7476" w:rsidP="001E7476">
            <w:pP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Suinocultura</w:t>
            </w:r>
          </w:p>
        </w:tc>
        <w:tc>
          <w:tcPr>
            <w:tcW w:w="828" w:type="dxa"/>
            <w:tcBorders>
              <w:top w:val="nil"/>
              <w:left w:val="nil"/>
              <w:bottom w:val="nil"/>
              <w:right w:val="nil"/>
            </w:tcBorders>
            <w:vAlign w:val="center"/>
          </w:tcPr>
          <w:p w14:paraId="774C3129"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104,7</w:t>
            </w:r>
          </w:p>
        </w:tc>
        <w:tc>
          <w:tcPr>
            <w:tcW w:w="828" w:type="dxa"/>
            <w:tcBorders>
              <w:top w:val="nil"/>
              <w:left w:val="nil"/>
              <w:bottom w:val="nil"/>
              <w:right w:val="nil"/>
            </w:tcBorders>
            <w:vAlign w:val="center"/>
          </w:tcPr>
          <w:p w14:paraId="4106D95F"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8,1</w:t>
            </w:r>
          </w:p>
        </w:tc>
        <w:tc>
          <w:tcPr>
            <w:tcW w:w="828" w:type="dxa"/>
            <w:tcBorders>
              <w:top w:val="nil"/>
              <w:left w:val="nil"/>
              <w:bottom w:val="nil"/>
              <w:right w:val="nil"/>
            </w:tcBorders>
            <w:vAlign w:val="center"/>
          </w:tcPr>
          <w:p w14:paraId="3ECDE582"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10,3</w:t>
            </w:r>
          </w:p>
        </w:tc>
        <w:tc>
          <w:tcPr>
            <w:tcW w:w="828" w:type="dxa"/>
            <w:tcBorders>
              <w:top w:val="nil"/>
              <w:left w:val="nil"/>
              <w:bottom w:val="nil"/>
              <w:right w:val="nil"/>
            </w:tcBorders>
            <w:vAlign w:val="center"/>
          </w:tcPr>
          <w:p w14:paraId="7BEA7774"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128,2</w:t>
            </w:r>
          </w:p>
        </w:tc>
        <w:tc>
          <w:tcPr>
            <w:tcW w:w="970" w:type="dxa"/>
            <w:tcBorders>
              <w:top w:val="nil"/>
              <w:left w:val="nil"/>
              <w:bottom w:val="nil"/>
              <w:right w:val="single" w:sz="4" w:space="0" w:color="auto"/>
            </w:tcBorders>
            <w:vAlign w:val="center"/>
          </w:tcPr>
          <w:p w14:paraId="6CF58510"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3,1</w:t>
            </w:r>
          </w:p>
        </w:tc>
        <w:tc>
          <w:tcPr>
            <w:tcW w:w="921" w:type="dxa"/>
            <w:tcBorders>
              <w:top w:val="nil"/>
              <w:left w:val="single" w:sz="4" w:space="0" w:color="auto"/>
              <w:bottom w:val="nil"/>
              <w:right w:val="nil"/>
            </w:tcBorders>
            <w:vAlign w:val="center"/>
          </w:tcPr>
          <w:p w14:paraId="21FEB49F"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13,4</w:t>
            </w:r>
          </w:p>
        </w:tc>
        <w:tc>
          <w:tcPr>
            <w:tcW w:w="921" w:type="dxa"/>
            <w:tcBorders>
              <w:top w:val="nil"/>
              <w:left w:val="nil"/>
              <w:bottom w:val="nil"/>
              <w:right w:val="nil"/>
            </w:tcBorders>
            <w:vAlign w:val="center"/>
          </w:tcPr>
          <w:p w14:paraId="4363EA57"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6,0</w:t>
            </w:r>
          </w:p>
        </w:tc>
      </w:tr>
      <w:tr w:rsidR="001E7476" w:rsidRPr="00C766C5" w14:paraId="16826AF8" w14:textId="77777777" w:rsidTr="00C90EAF">
        <w:trPr>
          <w:trHeight w:val="227"/>
        </w:trPr>
        <w:tc>
          <w:tcPr>
            <w:tcW w:w="2948" w:type="dxa"/>
            <w:tcBorders>
              <w:top w:val="nil"/>
              <w:left w:val="nil"/>
              <w:bottom w:val="nil"/>
              <w:right w:val="nil"/>
            </w:tcBorders>
            <w:vAlign w:val="center"/>
          </w:tcPr>
          <w:p w14:paraId="0C2A5215" w14:textId="77777777" w:rsidR="001E7476" w:rsidRPr="00C766C5" w:rsidRDefault="001E7476" w:rsidP="001E7476">
            <w:pP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Bovinocultura de Corte</w:t>
            </w:r>
          </w:p>
        </w:tc>
        <w:tc>
          <w:tcPr>
            <w:tcW w:w="828" w:type="dxa"/>
            <w:tcBorders>
              <w:top w:val="nil"/>
              <w:left w:val="nil"/>
              <w:bottom w:val="nil"/>
              <w:right w:val="nil"/>
            </w:tcBorders>
            <w:vAlign w:val="center"/>
          </w:tcPr>
          <w:p w14:paraId="4E9BB96F"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281,2</w:t>
            </w:r>
          </w:p>
        </w:tc>
        <w:tc>
          <w:tcPr>
            <w:tcW w:w="828" w:type="dxa"/>
            <w:tcBorders>
              <w:top w:val="nil"/>
              <w:left w:val="nil"/>
              <w:bottom w:val="nil"/>
              <w:right w:val="nil"/>
            </w:tcBorders>
            <w:vAlign w:val="center"/>
          </w:tcPr>
          <w:p w14:paraId="4725ADF1"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21,6</w:t>
            </w:r>
          </w:p>
        </w:tc>
        <w:tc>
          <w:tcPr>
            <w:tcW w:w="828" w:type="dxa"/>
            <w:tcBorders>
              <w:top w:val="nil"/>
              <w:left w:val="nil"/>
              <w:bottom w:val="nil"/>
              <w:right w:val="nil"/>
            </w:tcBorders>
            <w:vAlign w:val="center"/>
          </w:tcPr>
          <w:p w14:paraId="0B8ECF7F"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13,4</w:t>
            </w:r>
          </w:p>
        </w:tc>
        <w:tc>
          <w:tcPr>
            <w:tcW w:w="828" w:type="dxa"/>
            <w:tcBorders>
              <w:top w:val="nil"/>
              <w:left w:val="nil"/>
              <w:bottom w:val="nil"/>
              <w:right w:val="nil"/>
            </w:tcBorders>
            <w:vAlign w:val="center"/>
          </w:tcPr>
          <w:p w14:paraId="00BADF8E"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61,9</w:t>
            </w:r>
          </w:p>
        </w:tc>
        <w:tc>
          <w:tcPr>
            <w:tcW w:w="970" w:type="dxa"/>
            <w:tcBorders>
              <w:top w:val="nil"/>
              <w:left w:val="nil"/>
              <w:bottom w:val="nil"/>
              <w:right w:val="single" w:sz="4" w:space="0" w:color="auto"/>
            </w:tcBorders>
            <w:vAlign w:val="center"/>
          </w:tcPr>
          <w:p w14:paraId="1C1F08B4"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28,7</w:t>
            </w:r>
          </w:p>
        </w:tc>
        <w:tc>
          <w:tcPr>
            <w:tcW w:w="921" w:type="dxa"/>
            <w:tcBorders>
              <w:top w:val="nil"/>
              <w:left w:val="single" w:sz="4" w:space="0" w:color="auto"/>
              <w:bottom w:val="nil"/>
              <w:right w:val="nil"/>
            </w:tcBorders>
            <w:vAlign w:val="center"/>
          </w:tcPr>
          <w:p w14:paraId="6D9DAB1E"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14,1</w:t>
            </w:r>
          </w:p>
        </w:tc>
        <w:tc>
          <w:tcPr>
            <w:tcW w:w="921" w:type="dxa"/>
            <w:tcBorders>
              <w:top w:val="nil"/>
              <w:left w:val="nil"/>
              <w:bottom w:val="nil"/>
              <w:right w:val="nil"/>
            </w:tcBorders>
            <w:vAlign w:val="center"/>
          </w:tcPr>
          <w:p w14:paraId="54BA9F69"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18,3</w:t>
            </w:r>
          </w:p>
        </w:tc>
      </w:tr>
      <w:tr w:rsidR="001E7476" w:rsidRPr="00C766C5" w14:paraId="5A7D19D2" w14:textId="77777777" w:rsidTr="00C90EAF">
        <w:trPr>
          <w:trHeight w:val="227"/>
        </w:trPr>
        <w:tc>
          <w:tcPr>
            <w:tcW w:w="2948" w:type="dxa"/>
            <w:tcBorders>
              <w:top w:val="nil"/>
              <w:left w:val="nil"/>
              <w:bottom w:val="nil"/>
              <w:right w:val="nil"/>
            </w:tcBorders>
            <w:vAlign w:val="center"/>
          </w:tcPr>
          <w:p w14:paraId="244E6E2F" w14:textId="77777777" w:rsidR="001E7476" w:rsidRPr="00C766C5" w:rsidRDefault="001E7476" w:rsidP="001E7476">
            <w:pP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Cebola</w:t>
            </w:r>
          </w:p>
        </w:tc>
        <w:tc>
          <w:tcPr>
            <w:tcW w:w="828" w:type="dxa"/>
            <w:tcBorders>
              <w:top w:val="nil"/>
              <w:left w:val="nil"/>
              <w:bottom w:val="nil"/>
              <w:right w:val="nil"/>
            </w:tcBorders>
            <w:vAlign w:val="center"/>
          </w:tcPr>
          <w:p w14:paraId="6FE5BC7D"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253,6</w:t>
            </w:r>
          </w:p>
        </w:tc>
        <w:tc>
          <w:tcPr>
            <w:tcW w:w="828" w:type="dxa"/>
            <w:tcBorders>
              <w:top w:val="nil"/>
              <w:left w:val="nil"/>
              <w:bottom w:val="nil"/>
              <w:right w:val="nil"/>
            </w:tcBorders>
            <w:vAlign w:val="center"/>
          </w:tcPr>
          <w:p w14:paraId="5B7D092F"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19,5</w:t>
            </w:r>
          </w:p>
        </w:tc>
        <w:tc>
          <w:tcPr>
            <w:tcW w:w="828" w:type="dxa"/>
            <w:tcBorders>
              <w:top w:val="nil"/>
              <w:left w:val="nil"/>
              <w:bottom w:val="nil"/>
              <w:right w:val="nil"/>
            </w:tcBorders>
            <w:vAlign w:val="center"/>
          </w:tcPr>
          <w:p w14:paraId="66D640FD"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51,8</w:t>
            </w:r>
          </w:p>
        </w:tc>
        <w:tc>
          <w:tcPr>
            <w:tcW w:w="828" w:type="dxa"/>
            <w:tcBorders>
              <w:top w:val="nil"/>
              <w:left w:val="nil"/>
              <w:bottom w:val="nil"/>
              <w:right w:val="nil"/>
            </w:tcBorders>
            <w:vAlign w:val="center"/>
          </w:tcPr>
          <w:p w14:paraId="44881FD9"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265,7</w:t>
            </w:r>
          </w:p>
        </w:tc>
        <w:tc>
          <w:tcPr>
            <w:tcW w:w="970" w:type="dxa"/>
            <w:tcBorders>
              <w:top w:val="nil"/>
              <w:left w:val="nil"/>
              <w:bottom w:val="nil"/>
              <w:right w:val="single" w:sz="4" w:space="0" w:color="auto"/>
            </w:tcBorders>
            <w:vAlign w:val="center"/>
          </w:tcPr>
          <w:p w14:paraId="353A9DED"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1,2</w:t>
            </w:r>
          </w:p>
        </w:tc>
        <w:tc>
          <w:tcPr>
            <w:tcW w:w="921" w:type="dxa"/>
            <w:tcBorders>
              <w:top w:val="nil"/>
              <w:left w:val="single" w:sz="4" w:space="0" w:color="auto"/>
              <w:bottom w:val="nil"/>
              <w:right w:val="nil"/>
            </w:tcBorders>
            <w:vAlign w:val="center"/>
          </w:tcPr>
          <w:p w14:paraId="24C95BA0"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17,7</w:t>
            </w:r>
          </w:p>
        </w:tc>
        <w:tc>
          <w:tcPr>
            <w:tcW w:w="921" w:type="dxa"/>
            <w:tcBorders>
              <w:top w:val="nil"/>
              <w:left w:val="nil"/>
              <w:bottom w:val="nil"/>
              <w:right w:val="nil"/>
            </w:tcBorders>
            <w:vAlign w:val="center"/>
          </w:tcPr>
          <w:p w14:paraId="5BCCCA63"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1,0</w:t>
            </w:r>
          </w:p>
        </w:tc>
      </w:tr>
      <w:tr w:rsidR="001E7476" w:rsidRPr="00C766C5" w14:paraId="18FDAD01" w14:textId="77777777" w:rsidTr="00C90EAF">
        <w:trPr>
          <w:trHeight w:val="227"/>
        </w:trPr>
        <w:tc>
          <w:tcPr>
            <w:tcW w:w="2948" w:type="dxa"/>
            <w:tcBorders>
              <w:top w:val="nil"/>
              <w:left w:val="nil"/>
              <w:bottom w:val="nil"/>
              <w:right w:val="nil"/>
            </w:tcBorders>
            <w:vAlign w:val="center"/>
          </w:tcPr>
          <w:p w14:paraId="0C546FAC" w14:textId="77777777" w:rsidR="001E7476" w:rsidRPr="00C766C5" w:rsidRDefault="001E7476" w:rsidP="001E7476">
            <w:pP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Cacau</w:t>
            </w:r>
          </w:p>
        </w:tc>
        <w:tc>
          <w:tcPr>
            <w:tcW w:w="828" w:type="dxa"/>
            <w:tcBorders>
              <w:top w:val="nil"/>
              <w:left w:val="nil"/>
              <w:bottom w:val="nil"/>
              <w:right w:val="nil"/>
            </w:tcBorders>
            <w:vAlign w:val="center"/>
          </w:tcPr>
          <w:p w14:paraId="1E4CDFEB"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84,4</w:t>
            </w:r>
          </w:p>
        </w:tc>
        <w:tc>
          <w:tcPr>
            <w:tcW w:w="828" w:type="dxa"/>
            <w:tcBorders>
              <w:top w:val="nil"/>
              <w:left w:val="nil"/>
              <w:bottom w:val="nil"/>
              <w:right w:val="nil"/>
            </w:tcBorders>
            <w:vAlign w:val="center"/>
          </w:tcPr>
          <w:p w14:paraId="06370A53"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6,5</w:t>
            </w:r>
          </w:p>
        </w:tc>
        <w:tc>
          <w:tcPr>
            <w:tcW w:w="828" w:type="dxa"/>
            <w:tcBorders>
              <w:top w:val="nil"/>
              <w:left w:val="nil"/>
              <w:bottom w:val="nil"/>
              <w:right w:val="nil"/>
            </w:tcBorders>
            <w:vAlign w:val="center"/>
          </w:tcPr>
          <w:p w14:paraId="0893BE5D"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5,3</w:t>
            </w:r>
          </w:p>
        </w:tc>
        <w:tc>
          <w:tcPr>
            <w:tcW w:w="828" w:type="dxa"/>
            <w:tcBorders>
              <w:top w:val="nil"/>
              <w:left w:val="nil"/>
              <w:bottom w:val="nil"/>
              <w:right w:val="nil"/>
            </w:tcBorders>
            <w:vAlign w:val="center"/>
          </w:tcPr>
          <w:p w14:paraId="26FAAFB5"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89,9</w:t>
            </w:r>
          </w:p>
        </w:tc>
        <w:tc>
          <w:tcPr>
            <w:tcW w:w="970" w:type="dxa"/>
            <w:tcBorders>
              <w:top w:val="nil"/>
              <w:left w:val="nil"/>
              <w:bottom w:val="nil"/>
              <w:right w:val="single" w:sz="4" w:space="0" w:color="auto"/>
            </w:tcBorders>
            <w:vAlign w:val="center"/>
          </w:tcPr>
          <w:p w14:paraId="7A3375E3"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1,0</w:t>
            </w:r>
          </w:p>
        </w:tc>
        <w:tc>
          <w:tcPr>
            <w:tcW w:w="921" w:type="dxa"/>
            <w:tcBorders>
              <w:top w:val="nil"/>
              <w:left w:val="single" w:sz="4" w:space="0" w:color="auto"/>
              <w:bottom w:val="nil"/>
              <w:right w:val="nil"/>
            </w:tcBorders>
            <w:vAlign w:val="center"/>
          </w:tcPr>
          <w:p w14:paraId="233E7C14"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7,1</w:t>
            </w:r>
          </w:p>
        </w:tc>
        <w:tc>
          <w:tcPr>
            <w:tcW w:w="921" w:type="dxa"/>
            <w:tcBorders>
              <w:top w:val="nil"/>
              <w:left w:val="nil"/>
              <w:bottom w:val="nil"/>
              <w:right w:val="nil"/>
            </w:tcBorders>
            <w:vAlign w:val="center"/>
          </w:tcPr>
          <w:p w14:paraId="2F2AD36C"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0,7</w:t>
            </w:r>
          </w:p>
        </w:tc>
      </w:tr>
      <w:tr w:rsidR="001E7476" w:rsidRPr="00C766C5" w14:paraId="1701C57D" w14:textId="77777777" w:rsidTr="00C90EAF">
        <w:trPr>
          <w:trHeight w:val="227"/>
        </w:trPr>
        <w:tc>
          <w:tcPr>
            <w:tcW w:w="2948" w:type="dxa"/>
            <w:tcBorders>
              <w:top w:val="nil"/>
              <w:left w:val="nil"/>
              <w:bottom w:val="single" w:sz="4" w:space="0" w:color="auto"/>
              <w:right w:val="nil"/>
            </w:tcBorders>
            <w:vAlign w:val="center"/>
          </w:tcPr>
          <w:p w14:paraId="56E2BFE0" w14:textId="77777777" w:rsidR="001E7476" w:rsidRPr="00C766C5" w:rsidRDefault="001E7476" w:rsidP="001E7476">
            <w:pP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Trigo</w:t>
            </w:r>
          </w:p>
        </w:tc>
        <w:tc>
          <w:tcPr>
            <w:tcW w:w="828" w:type="dxa"/>
            <w:tcBorders>
              <w:top w:val="nil"/>
              <w:left w:val="nil"/>
              <w:bottom w:val="single" w:sz="4" w:space="0" w:color="auto"/>
              <w:right w:val="nil"/>
            </w:tcBorders>
            <w:vAlign w:val="center"/>
          </w:tcPr>
          <w:p w14:paraId="53E7DD46"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121,2</w:t>
            </w:r>
          </w:p>
        </w:tc>
        <w:tc>
          <w:tcPr>
            <w:tcW w:w="828" w:type="dxa"/>
            <w:tcBorders>
              <w:top w:val="nil"/>
              <w:left w:val="nil"/>
              <w:bottom w:val="single" w:sz="4" w:space="0" w:color="auto"/>
              <w:right w:val="nil"/>
            </w:tcBorders>
            <w:vAlign w:val="center"/>
          </w:tcPr>
          <w:p w14:paraId="0120ABA9"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9,3</w:t>
            </w:r>
          </w:p>
        </w:tc>
        <w:tc>
          <w:tcPr>
            <w:tcW w:w="828" w:type="dxa"/>
            <w:tcBorders>
              <w:top w:val="nil"/>
              <w:left w:val="nil"/>
              <w:bottom w:val="single" w:sz="4" w:space="0" w:color="auto"/>
              <w:right w:val="nil"/>
            </w:tcBorders>
            <w:vAlign w:val="center"/>
          </w:tcPr>
          <w:p w14:paraId="5D663514"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5,8</w:t>
            </w:r>
          </w:p>
        </w:tc>
        <w:tc>
          <w:tcPr>
            <w:tcW w:w="828" w:type="dxa"/>
            <w:tcBorders>
              <w:top w:val="nil"/>
              <w:left w:val="nil"/>
              <w:bottom w:val="single" w:sz="4" w:space="0" w:color="auto"/>
              <w:right w:val="nil"/>
            </w:tcBorders>
            <w:vAlign w:val="center"/>
          </w:tcPr>
          <w:p w14:paraId="350F336F"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62,4</w:t>
            </w:r>
          </w:p>
        </w:tc>
        <w:tc>
          <w:tcPr>
            <w:tcW w:w="970" w:type="dxa"/>
            <w:tcBorders>
              <w:top w:val="nil"/>
              <w:left w:val="nil"/>
              <w:bottom w:val="single" w:sz="4" w:space="0" w:color="auto"/>
              <w:right w:val="single" w:sz="4" w:space="0" w:color="auto"/>
            </w:tcBorders>
            <w:vAlign w:val="center"/>
          </w:tcPr>
          <w:p w14:paraId="2334EF3C"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13,5</w:t>
            </w:r>
          </w:p>
        </w:tc>
        <w:tc>
          <w:tcPr>
            <w:tcW w:w="921" w:type="dxa"/>
            <w:tcBorders>
              <w:top w:val="nil"/>
              <w:left w:val="single" w:sz="4" w:space="0" w:color="auto"/>
              <w:bottom w:val="single" w:sz="4" w:space="0" w:color="auto"/>
              <w:right w:val="nil"/>
            </w:tcBorders>
            <w:vAlign w:val="center"/>
          </w:tcPr>
          <w:p w14:paraId="40CA9655"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7,0</w:t>
            </w:r>
          </w:p>
        </w:tc>
        <w:tc>
          <w:tcPr>
            <w:tcW w:w="921" w:type="dxa"/>
            <w:tcBorders>
              <w:top w:val="nil"/>
              <w:left w:val="nil"/>
              <w:bottom w:val="single" w:sz="4" w:space="0" w:color="auto"/>
              <w:right w:val="nil"/>
            </w:tcBorders>
            <w:vAlign w:val="center"/>
          </w:tcPr>
          <w:p w14:paraId="36F603EF"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7,0</w:t>
            </w:r>
          </w:p>
        </w:tc>
      </w:tr>
      <w:tr w:rsidR="00C90EAF" w:rsidRPr="00C766C5" w14:paraId="4DF4D3D6" w14:textId="77777777" w:rsidTr="00B15EDC">
        <w:trPr>
          <w:trHeight w:val="227"/>
        </w:trPr>
        <w:tc>
          <w:tcPr>
            <w:tcW w:w="2948" w:type="dxa"/>
            <w:tcBorders>
              <w:top w:val="single" w:sz="4" w:space="0" w:color="auto"/>
              <w:left w:val="nil"/>
              <w:bottom w:val="single" w:sz="4" w:space="0" w:color="auto"/>
              <w:right w:val="nil"/>
            </w:tcBorders>
            <w:shd w:val="clear" w:color="auto" w:fill="F2F2F2" w:themeFill="background1" w:themeFillShade="F2"/>
            <w:vAlign w:val="center"/>
          </w:tcPr>
          <w:p w14:paraId="3A0201D6" w14:textId="769C0424" w:rsidR="001E7476" w:rsidRPr="00C766C5" w:rsidRDefault="00B15EDC" w:rsidP="001E7476">
            <w:pPr>
              <w:rPr>
                <w:rFonts w:ascii="Times New Roman" w:eastAsia="Times New Roman" w:hAnsi="Times New Roman"/>
                <w:bCs/>
                <w:color w:val="000000" w:themeColor="text1"/>
                <w:sz w:val="22"/>
                <w:szCs w:val="22"/>
                <w:shd w:val="clear" w:color="auto" w:fill="FFFFFF"/>
              </w:rPr>
            </w:pPr>
            <w:r w:rsidRPr="00C766C5">
              <w:rPr>
                <w:rFonts w:ascii="Times New Roman" w:hAnsi="Times New Roman"/>
                <w:color w:val="000000" w:themeColor="text1"/>
                <w:sz w:val="22"/>
                <w:szCs w:val="22"/>
              </w:rPr>
              <w:t>Comercializáveis*</w:t>
            </w:r>
            <w:r w:rsidRPr="00C766C5">
              <w:rPr>
                <w:rFonts w:ascii="Times New Roman" w:eastAsia="Times New Roman" w:hAnsi="Times New Roman"/>
                <w:bCs/>
                <w:color w:val="000000" w:themeColor="text1"/>
                <w:sz w:val="22"/>
                <w:szCs w:val="22"/>
                <w:shd w:val="clear" w:color="auto" w:fill="FFFFFF"/>
              </w:rPr>
              <w:t xml:space="preserve"> </w:t>
            </w:r>
          </w:p>
        </w:tc>
        <w:tc>
          <w:tcPr>
            <w:tcW w:w="828" w:type="dxa"/>
            <w:tcBorders>
              <w:top w:val="single" w:sz="4" w:space="0" w:color="auto"/>
              <w:left w:val="nil"/>
              <w:bottom w:val="single" w:sz="4" w:space="0" w:color="auto"/>
              <w:right w:val="nil"/>
            </w:tcBorders>
            <w:shd w:val="clear" w:color="auto" w:fill="F2F2F2" w:themeFill="background1" w:themeFillShade="F2"/>
            <w:vAlign w:val="center"/>
          </w:tcPr>
          <w:p w14:paraId="7A0D35C5" w14:textId="77777777" w:rsidR="001E7476" w:rsidRPr="00C766C5" w:rsidRDefault="001E7476" w:rsidP="00B15EDC">
            <w:pPr>
              <w:jc w:val="center"/>
              <w:rPr>
                <w:rFonts w:ascii="Times New Roman" w:hAnsi="Times New Roman"/>
                <w:sz w:val="22"/>
                <w:szCs w:val="22"/>
              </w:rPr>
            </w:pPr>
            <w:r w:rsidRPr="00C766C5">
              <w:rPr>
                <w:rFonts w:ascii="Times New Roman" w:hAnsi="Times New Roman"/>
                <w:sz w:val="22"/>
                <w:szCs w:val="22"/>
              </w:rPr>
              <w:t>121,4</w:t>
            </w:r>
          </w:p>
        </w:tc>
        <w:tc>
          <w:tcPr>
            <w:tcW w:w="828" w:type="dxa"/>
            <w:tcBorders>
              <w:top w:val="single" w:sz="4" w:space="0" w:color="auto"/>
              <w:left w:val="nil"/>
              <w:bottom w:val="single" w:sz="4" w:space="0" w:color="auto"/>
              <w:right w:val="nil"/>
            </w:tcBorders>
            <w:shd w:val="clear" w:color="auto" w:fill="F2F2F2" w:themeFill="background1" w:themeFillShade="F2"/>
            <w:vAlign w:val="center"/>
          </w:tcPr>
          <w:p w14:paraId="67D4CE42" w14:textId="77777777" w:rsidR="001E7476" w:rsidRPr="00C766C5" w:rsidRDefault="001E7476" w:rsidP="00B15EDC">
            <w:pPr>
              <w:jc w:val="center"/>
              <w:rPr>
                <w:rFonts w:ascii="Times New Roman" w:hAnsi="Times New Roman"/>
                <w:sz w:val="22"/>
                <w:szCs w:val="22"/>
              </w:rPr>
            </w:pPr>
            <w:r w:rsidRPr="00C766C5">
              <w:rPr>
                <w:rFonts w:ascii="Times New Roman" w:hAnsi="Times New Roman"/>
                <w:sz w:val="22"/>
                <w:szCs w:val="22"/>
              </w:rPr>
              <w:t>10,0</w:t>
            </w:r>
          </w:p>
        </w:tc>
        <w:tc>
          <w:tcPr>
            <w:tcW w:w="828" w:type="dxa"/>
            <w:tcBorders>
              <w:top w:val="single" w:sz="4" w:space="0" w:color="auto"/>
              <w:left w:val="nil"/>
              <w:bottom w:val="single" w:sz="4" w:space="0" w:color="auto"/>
              <w:right w:val="nil"/>
            </w:tcBorders>
            <w:shd w:val="clear" w:color="auto" w:fill="F2F2F2" w:themeFill="background1" w:themeFillShade="F2"/>
            <w:vAlign w:val="center"/>
          </w:tcPr>
          <w:p w14:paraId="69F9B861" w14:textId="77777777" w:rsidR="001E7476" w:rsidRPr="00C766C5" w:rsidRDefault="001E7476" w:rsidP="00B15EDC">
            <w:pPr>
              <w:jc w:val="center"/>
              <w:rPr>
                <w:rFonts w:ascii="Times New Roman" w:hAnsi="Times New Roman"/>
                <w:sz w:val="22"/>
                <w:szCs w:val="22"/>
              </w:rPr>
            </w:pPr>
            <w:r w:rsidRPr="00C766C5">
              <w:rPr>
                <w:rFonts w:ascii="Times New Roman" w:hAnsi="Times New Roman"/>
                <w:sz w:val="22"/>
                <w:szCs w:val="22"/>
              </w:rPr>
              <w:t>12,6</w:t>
            </w:r>
          </w:p>
        </w:tc>
        <w:tc>
          <w:tcPr>
            <w:tcW w:w="828" w:type="dxa"/>
            <w:tcBorders>
              <w:top w:val="single" w:sz="4" w:space="0" w:color="auto"/>
              <w:left w:val="nil"/>
              <w:bottom w:val="single" w:sz="4" w:space="0" w:color="auto"/>
              <w:right w:val="nil"/>
            </w:tcBorders>
            <w:shd w:val="clear" w:color="auto" w:fill="F2F2F2" w:themeFill="background1" w:themeFillShade="F2"/>
            <w:vAlign w:val="center"/>
          </w:tcPr>
          <w:p w14:paraId="2C234B7D" w14:textId="77777777" w:rsidR="001E7476" w:rsidRPr="00C766C5" w:rsidRDefault="001E7476" w:rsidP="00B15EDC">
            <w:pPr>
              <w:jc w:val="center"/>
              <w:rPr>
                <w:rFonts w:ascii="Times New Roman" w:hAnsi="Times New Roman"/>
                <w:sz w:val="22"/>
                <w:szCs w:val="22"/>
              </w:rPr>
            </w:pPr>
            <w:r w:rsidRPr="00C766C5">
              <w:rPr>
                <w:rFonts w:ascii="Times New Roman" w:hAnsi="Times New Roman"/>
                <w:sz w:val="22"/>
                <w:szCs w:val="22"/>
              </w:rPr>
              <w:t>157,2</w:t>
            </w:r>
          </w:p>
        </w:tc>
        <w:tc>
          <w:tcPr>
            <w:tcW w:w="970"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6113C39D" w14:textId="77777777" w:rsidR="001E7476" w:rsidRPr="00C766C5" w:rsidRDefault="001E7476" w:rsidP="00B15EDC">
            <w:pPr>
              <w:jc w:val="center"/>
              <w:rPr>
                <w:rFonts w:ascii="Times New Roman" w:hAnsi="Times New Roman"/>
                <w:sz w:val="22"/>
                <w:szCs w:val="22"/>
              </w:rPr>
            </w:pPr>
            <w:r w:rsidRPr="00C766C5">
              <w:rPr>
                <w:rFonts w:ascii="Times New Roman" w:hAnsi="Times New Roman"/>
                <w:sz w:val="22"/>
                <w:szCs w:val="22"/>
              </w:rPr>
              <w:t>59,1</w:t>
            </w:r>
          </w:p>
        </w:tc>
        <w:tc>
          <w:tcPr>
            <w:tcW w:w="921"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4E4449A2" w14:textId="77777777" w:rsidR="001E7476" w:rsidRPr="00C766C5" w:rsidRDefault="001E7476" w:rsidP="00B15EDC">
            <w:pPr>
              <w:jc w:val="center"/>
              <w:rPr>
                <w:rFonts w:ascii="Times New Roman" w:hAnsi="Times New Roman"/>
                <w:sz w:val="22"/>
                <w:szCs w:val="22"/>
              </w:rPr>
            </w:pPr>
            <w:r w:rsidRPr="00C766C5">
              <w:rPr>
                <w:rFonts w:ascii="Times New Roman" w:hAnsi="Times New Roman"/>
                <w:sz w:val="22"/>
                <w:szCs w:val="22"/>
              </w:rPr>
              <w:t>19,7</w:t>
            </w:r>
          </w:p>
        </w:tc>
        <w:tc>
          <w:tcPr>
            <w:tcW w:w="921" w:type="dxa"/>
            <w:tcBorders>
              <w:top w:val="single" w:sz="4" w:space="0" w:color="auto"/>
              <w:left w:val="nil"/>
              <w:bottom w:val="single" w:sz="4" w:space="0" w:color="auto"/>
              <w:right w:val="nil"/>
            </w:tcBorders>
            <w:shd w:val="clear" w:color="auto" w:fill="F2F2F2" w:themeFill="background1" w:themeFillShade="F2"/>
            <w:vAlign w:val="center"/>
          </w:tcPr>
          <w:p w14:paraId="2CC99F66" w14:textId="77777777" w:rsidR="001E7476" w:rsidRPr="00C766C5" w:rsidRDefault="001E7476" w:rsidP="00B15EDC">
            <w:pPr>
              <w:jc w:val="center"/>
              <w:rPr>
                <w:rFonts w:ascii="Times New Roman" w:hAnsi="Times New Roman"/>
                <w:sz w:val="22"/>
                <w:szCs w:val="22"/>
              </w:rPr>
            </w:pPr>
            <w:r w:rsidRPr="00C766C5">
              <w:rPr>
                <w:rFonts w:ascii="Times New Roman" w:hAnsi="Times New Roman"/>
                <w:sz w:val="22"/>
                <w:szCs w:val="22"/>
              </w:rPr>
              <w:t>59,5</w:t>
            </w:r>
          </w:p>
        </w:tc>
      </w:tr>
      <w:tr w:rsidR="001E7476" w:rsidRPr="00C766C5" w14:paraId="2EDE0EEB" w14:textId="77777777" w:rsidTr="00C90EAF">
        <w:trPr>
          <w:trHeight w:val="227"/>
        </w:trPr>
        <w:tc>
          <w:tcPr>
            <w:tcW w:w="2948" w:type="dxa"/>
            <w:tcBorders>
              <w:top w:val="single" w:sz="4" w:space="0" w:color="auto"/>
              <w:left w:val="nil"/>
              <w:bottom w:val="nil"/>
              <w:right w:val="nil"/>
            </w:tcBorders>
            <w:vAlign w:val="center"/>
          </w:tcPr>
          <w:p w14:paraId="446F9308" w14:textId="77777777" w:rsidR="001E7476" w:rsidRPr="00C766C5" w:rsidRDefault="001E7476" w:rsidP="001E7476">
            <w:pP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Arroz</w:t>
            </w:r>
          </w:p>
        </w:tc>
        <w:tc>
          <w:tcPr>
            <w:tcW w:w="828" w:type="dxa"/>
            <w:tcBorders>
              <w:top w:val="single" w:sz="4" w:space="0" w:color="auto"/>
              <w:left w:val="nil"/>
              <w:bottom w:val="nil"/>
              <w:right w:val="nil"/>
            </w:tcBorders>
            <w:vAlign w:val="center"/>
          </w:tcPr>
          <w:p w14:paraId="07686F07"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87,4</w:t>
            </w:r>
          </w:p>
        </w:tc>
        <w:tc>
          <w:tcPr>
            <w:tcW w:w="828" w:type="dxa"/>
            <w:tcBorders>
              <w:top w:val="single" w:sz="4" w:space="0" w:color="auto"/>
              <w:left w:val="nil"/>
              <w:bottom w:val="nil"/>
              <w:right w:val="nil"/>
            </w:tcBorders>
            <w:vAlign w:val="center"/>
          </w:tcPr>
          <w:p w14:paraId="4C782035"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6,7</w:t>
            </w:r>
          </w:p>
        </w:tc>
        <w:tc>
          <w:tcPr>
            <w:tcW w:w="828" w:type="dxa"/>
            <w:tcBorders>
              <w:top w:val="single" w:sz="4" w:space="0" w:color="auto"/>
              <w:left w:val="nil"/>
              <w:bottom w:val="nil"/>
              <w:right w:val="nil"/>
            </w:tcBorders>
            <w:vAlign w:val="center"/>
          </w:tcPr>
          <w:p w14:paraId="377861BA"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15,4</w:t>
            </w:r>
          </w:p>
        </w:tc>
        <w:tc>
          <w:tcPr>
            <w:tcW w:w="828" w:type="dxa"/>
            <w:tcBorders>
              <w:top w:val="single" w:sz="4" w:space="0" w:color="auto"/>
              <w:left w:val="nil"/>
              <w:bottom w:val="nil"/>
              <w:right w:val="nil"/>
            </w:tcBorders>
            <w:vAlign w:val="center"/>
          </w:tcPr>
          <w:p w14:paraId="2049F98F"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229,2</w:t>
            </w:r>
          </w:p>
        </w:tc>
        <w:tc>
          <w:tcPr>
            <w:tcW w:w="970" w:type="dxa"/>
            <w:tcBorders>
              <w:top w:val="single" w:sz="4" w:space="0" w:color="auto"/>
              <w:left w:val="nil"/>
              <w:bottom w:val="nil"/>
              <w:right w:val="single" w:sz="4" w:space="0" w:color="auto"/>
            </w:tcBorders>
            <w:vAlign w:val="center"/>
          </w:tcPr>
          <w:p w14:paraId="50F7A662"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2,8</w:t>
            </w:r>
          </w:p>
        </w:tc>
        <w:tc>
          <w:tcPr>
            <w:tcW w:w="921" w:type="dxa"/>
            <w:tcBorders>
              <w:top w:val="single" w:sz="4" w:space="0" w:color="auto"/>
              <w:left w:val="single" w:sz="4" w:space="0" w:color="auto"/>
              <w:bottom w:val="nil"/>
              <w:right w:val="nil"/>
            </w:tcBorders>
            <w:vAlign w:val="center"/>
          </w:tcPr>
          <w:p w14:paraId="47B6E9B9"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23,0</w:t>
            </w:r>
          </w:p>
        </w:tc>
        <w:tc>
          <w:tcPr>
            <w:tcW w:w="921" w:type="dxa"/>
            <w:tcBorders>
              <w:top w:val="single" w:sz="4" w:space="0" w:color="auto"/>
              <w:left w:val="nil"/>
              <w:bottom w:val="nil"/>
              <w:right w:val="nil"/>
            </w:tcBorders>
            <w:vAlign w:val="center"/>
          </w:tcPr>
          <w:p w14:paraId="4F313C2B"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5,9</w:t>
            </w:r>
          </w:p>
        </w:tc>
      </w:tr>
      <w:tr w:rsidR="001E7476" w:rsidRPr="00C766C5" w14:paraId="572ECB2C" w14:textId="77777777" w:rsidTr="00C90EAF">
        <w:trPr>
          <w:trHeight w:val="227"/>
        </w:trPr>
        <w:tc>
          <w:tcPr>
            <w:tcW w:w="2948" w:type="dxa"/>
            <w:tcBorders>
              <w:top w:val="nil"/>
              <w:left w:val="nil"/>
              <w:bottom w:val="nil"/>
              <w:right w:val="nil"/>
            </w:tcBorders>
            <w:vAlign w:val="center"/>
          </w:tcPr>
          <w:p w14:paraId="17EF2A49" w14:textId="77777777" w:rsidR="001E7476" w:rsidRPr="00C766C5" w:rsidRDefault="001E7476" w:rsidP="001E7476">
            <w:pP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Feijão</w:t>
            </w:r>
          </w:p>
        </w:tc>
        <w:tc>
          <w:tcPr>
            <w:tcW w:w="828" w:type="dxa"/>
            <w:tcBorders>
              <w:top w:val="nil"/>
              <w:left w:val="nil"/>
              <w:bottom w:val="nil"/>
              <w:right w:val="nil"/>
            </w:tcBorders>
            <w:vAlign w:val="center"/>
          </w:tcPr>
          <w:p w14:paraId="4D35EEFC"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196,3</w:t>
            </w:r>
          </w:p>
        </w:tc>
        <w:tc>
          <w:tcPr>
            <w:tcW w:w="828" w:type="dxa"/>
            <w:tcBorders>
              <w:top w:val="nil"/>
              <w:left w:val="nil"/>
              <w:bottom w:val="nil"/>
              <w:right w:val="nil"/>
            </w:tcBorders>
            <w:vAlign w:val="center"/>
          </w:tcPr>
          <w:p w14:paraId="291E29CB"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15,1</w:t>
            </w:r>
          </w:p>
        </w:tc>
        <w:tc>
          <w:tcPr>
            <w:tcW w:w="828" w:type="dxa"/>
            <w:tcBorders>
              <w:top w:val="nil"/>
              <w:left w:val="nil"/>
              <w:bottom w:val="nil"/>
              <w:right w:val="nil"/>
            </w:tcBorders>
            <w:vAlign w:val="center"/>
          </w:tcPr>
          <w:p w14:paraId="053607F9"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31,2</w:t>
            </w:r>
          </w:p>
        </w:tc>
        <w:tc>
          <w:tcPr>
            <w:tcW w:w="828" w:type="dxa"/>
            <w:tcBorders>
              <w:top w:val="nil"/>
              <w:left w:val="nil"/>
              <w:bottom w:val="nil"/>
              <w:right w:val="nil"/>
            </w:tcBorders>
            <w:vAlign w:val="center"/>
          </w:tcPr>
          <w:p w14:paraId="04DC89EB"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206,5</w:t>
            </w:r>
          </w:p>
        </w:tc>
        <w:tc>
          <w:tcPr>
            <w:tcW w:w="970" w:type="dxa"/>
            <w:tcBorders>
              <w:top w:val="nil"/>
              <w:left w:val="nil"/>
              <w:bottom w:val="nil"/>
              <w:right w:val="single" w:sz="4" w:space="0" w:color="auto"/>
            </w:tcBorders>
            <w:vAlign w:val="center"/>
          </w:tcPr>
          <w:p w14:paraId="1BA3A12A"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3,7</w:t>
            </w:r>
          </w:p>
        </w:tc>
        <w:tc>
          <w:tcPr>
            <w:tcW w:w="921" w:type="dxa"/>
            <w:tcBorders>
              <w:top w:val="nil"/>
              <w:left w:val="single" w:sz="4" w:space="0" w:color="auto"/>
              <w:bottom w:val="nil"/>
              <w:right w:val="nil"/>
            </w:tcBorders>
            <w:vAlign w:val="center"/>
          </w:tcPr>
          <w:p w14:paraId="6F6A82D9"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10,7</w:t>
            </w:r>
          </w:p>
        </w:tc>
        <w:tc>
          <w:tcPr>
            <w:tcW w:w="921" w:type="dxa"/>
            <w:tcBorders>
              <w:top w:val="nil"/>
              <w:left w:val="nil"/>
              <w:bottom w:val="nil"/>
              <w:right w:val="nil"/>
            </w:tcBorders>
            <w:vAlign w:val="center"/>
          </w:tcPr>
          <w:p w14:paraId="642AC0AE"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1,2</w:t>
            </w:r>
          </w:p>
        </w:tc>
      </w:tr>
      <w:tr w:rsidR="001E7476" w:rsidRPr="00C766C5" w14:paraId="6ABF7A81" w14:textId="77777777" w:rsidTr="00C90EAF">
        <w:trPr>
          <w:trHeight w:val="227"/>
        </w:trPr>
        <w:tc>
          <w:tcPr>
            <w:tcW w:w="2948" w:type="dxa"/>
            <w:tcBorders>
              <w:top w:val="nil"/>
              <w:left w:val="nil"/>
              <w:bottom w:val="nil"/>
              <w:right w:val="nil"/>
            </w:tcBorders>
            <w:vAlign w:val="center"/>
          </w:tcPr>
          <w:p w14:paraId="39352968" w14:textId="77777777" w:rsidR="001E7476" w:rsidRPr="00C766C5" w:rsidRDefault="001E7476" w:rsidP="001E7476">
            <w:pP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Bovinocultura de Leite</w:t>
            </w:r>
          </w:p>
        </w:tc>
        <w:tc>
          <w:tcPr>
            <w:tcW w:w="828" w:type="dxa"/>
            <w:tcBorders>
              <w:top w:val="nil"/>
              <w:left w:val="nil"/>
              <w:bottom w:val="nil"/>
              <w:right w:val="nil"/>
            </w:tcBorders>
            <w:vAlign w:val="center"/>
          </w:tcPr>
          <w:p w14:paraId="47824D21"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124,6</w:t>
            </w:r>
          </w:p>
        </w:tc>
        <w:tc>
          <w:tcPr>
            <w:tcW w:w="828" w:type="dxa"/>
            <w:tcBorders>
              <w:top w:val="nil"/>
              <w:left w:val="nil"/>
              <w:bottom w:val="nil"/>
              <w:right w:val="nil"/>
            </w:tcBorders>
            <w:vAlign w:val="center"/>
          </w:tcPr>
          <w:p w14:paraId="6CD5B65D"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9,6</w:t>
            </w:r>
          </w:p>
        </w:tc>
        <w:tc>
          <w:tcPr>
            <w:tcW w:w="828" w:type="dxa"/>
            <w:tcBorders>
              <w:top w:val="nil"/>
              <w:left w:val="nil"/>
              <w:bottom w:val="nil"/>
              <w:right w:val="nil"/>
            </w:tcBorders>
            <w:vAlign w:val="center"/>
          </w:tcPr>
          <w:p w14:paraId="5DC203A5"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8,5</w:t>
            </w:r>
          </w:p>
        </w:tc>
        <w:tc>
          <w:tcPr>
            <w:tcW w:w="828" w:type="dxa"/>
            <w:tcBorders>
              <w:top w:val="nil"/>
              <w:left w:val="nil"/>
              <w:bottom w:val="nil"/>
              <w:right w:val="nil"/>
            </w:tcBorders>
            <w:vAlign w:val="center"/>
          </w:tcPr>
          <w:p w14:paraId="7712C680"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88,6</w:t>
            </w:r>
          </w:p>
        </w:tc>
        <w:tc>
          <w:tcPr>
            <w:tcW w:w="970" w:type="dxa"/>
            <w:tcBorders>
              <w:top w:val="nil"/>
              <w:left w:val="nil"/>
              <w:bottom w:val="nil"/>
              <w:right w:val="single" w:sz="4" w:space="0" w:color="auto"/>
            </w:tcBorders>
            <w:vAlign w:val="center"/>
          </w:tcPr>
          <w:p w14:paraId="26561C7B"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10,1</w:t>
            </w:r>
          </w:p>
        </w:tc>
        <w:tc>
          <w:tcPr>
            <w:tcW w:w="921" w:type="dxa"/>
            <w:tcBorders>
              <w:top w:val="nil"/>
              <w:left w:val="single" w:sz="4" w:space="0" w:color="auto"/>
              <w:bottom w:val="nil"/>
              <w:right w:val="nil"/>
            </w:tcBorders>
            <w:vAlign w:val="center"/>
          </w:tcPr>
          <w:p w14:paraId="508F5773"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11,8</w:t>
            </w:r>
          </w:p>
        </w:tc>
        <w:tc>
          <w:tcPr>
            <w:tcW w:w="921" w:type="dxa"/>
            <w:tcBorders>
              <w:top w:val="nil"/>
              <w:left w:val="nil"/>
              <w:bottom w:val="nil"/>
              <w:right w:val="nil"/>
            </w:tcBorders>
            <w:vAlign w:val="center"/>
          </w:tcPr>
          <w:p w14:paraId="261ABC88"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9,8</w:t>
            </w:r>
          </w:p>
        </w:tc>
      </w:tr>
      <w:tr w:rsidR="001E7476" w:rsidRPr="00C766C5" w14:paraId="0CBC836F" w14:textId="77777777" w:rsidTr="00C90EAF">
        <w:trPr>
          <w:trHeight w:val="227"/>
        </w:trPr>
        <w:tc>
          <w:tcPr>
            <w:tcW w:w="2948" w:type="dxa"/>
            <w:tcBorders>
              <w:top w:val="nil"/>
              <w:left w:val="nil"/>
              <w:bottom w:val="single" w:sz="4" w:space="0" w:color="auto"/>
              <w:right w:val="nil"/>
            </w:tcBorders>
            <w:vAlign w:val="center"/>
          </w:tcPr>
          <w:p w14:paraId="4ECBA38B" w14:textId="77777777" w:rsidR="001E7476" w:rsidRPr="00C766C5" w:rsidRDefault="001E7476" w:rsidP="001E7476">
            <w:pP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Batata</w:t>
            </w:r>
          </w:p>
        </w:tc>
        <w:tc>
          <w:tcPr>
            <w:tcW w:w="828" w:type="dxa"/>
            <w:tcBorders>
              <w:top w:val="nil"/>
              <w:left w:val="nil"/>
              <w:bottom w:val="single" w:sz="4" w:space="0" w:color="auto"/>
              <w:right w:val="nil"/>
            </w:tcBorders>
            <w:vAlign w:val="center"/>
          </w:tcPr>
          <w:p w14:paraId="754DEEEC"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221,7</w:t>
            </w:r>
          </w:p>
        </w:tc>
        <w:tc>
          <w:tcPr>
            <w:tcW w:w="828" w:type="dxa"/>
            <w:tcBorders>
              <w:top w:val="nil"/>
              <w:left w:val="nil"/>
              <w:bottom w:val="single" w:sz="4" w:space="0" w:color="auto"/>
              <w:right w:val="nil"/>
            </w:tcBorders>
            <w:vAlign w:val="center"/>
          </w:tcPr>
          <w:p w14:paraId="49D3D55C"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17,1</w:t>
            </w:r>
          </w:p>
        </w:tc>
        <w:tc>
          <w:tcPr>
            <w:tcW w:w="828" w:type="dxa"/>
            <w:tcBorders>
              <w:top w:val="nil"/>
              <w:left w:val="nil"/>
              <w:bottom w:val="single" w:sz="4" w:space="0" w:color="auto"/>
              <w:right w:val="nil"/>
            </w:tcBorders>
            <w:vAlign w:val="center"/>
          </w:tcPr>
          <w:p w14:paraId="5EAD0D8D"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33,9</w:t>
            </w:r>
          </w:p>
        </w:tc>
        <w:tc>
          <w:tcPr>
            <w:tcW w:w="828" w:type="dxa"/>
            <w:tcBorders>
              <w:top w:val="nil"/>
              <w:left w:val="nil"/>
              <w:bottom w:val="single" w:sz="4" w:space="0" w:color="auto"/>
              <w:right w:val="nil"/>
            </w:tcBorders>
            <w:vAlign w:val="center"/>
          </w:tcPr>
          <w:p w14:paraId="2FEDBFFA"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198,6</w:t>
            </w:r>
          </w:p>
        </w:tc>
        <w:tc>
          <w:tcPr>
            <w:tcW w:w="970" w:type="dxa"/>
            <w:tcBorders>
              <w:top w:val="nil"/>
              <w:left w:val="nil"/>
              <w:bottom w:val="single" w:sz="4" w:space="0" w:color="auto"/>
              <w:right w:val="single" w:sz="4" w:space="0" w:color="auto"/>
            </w:tcBorders>
            <w:vAlign w:val="center"/>
          </w:tcPr>
          <w:p w14:paraId="4EEAA6EC"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1,8</w:t>
            </w:r>
          </w:p>
        </w:tc>
        <w:tc>
          <w:tcPr>
            <w:tcW w:w="921" w:type="dxa"/>
            <w:tcBorders>
              <w:top w:val="nil"/>
              <w:left w:val="single" w:sz="4" w:space="0" w:color="auto"/>
              <w:bottom w:val="single" w:sz="4" w:space="0" w:color="auto"/>
              <w:right w:val="nil"/>
            </w:tcBorders>
            <w:vAlign w:val="center"/>
          </w:tcPr>
          <w:p w14:paraId="1B12820E"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14,6</w:t>
            </w:r>
          </w:p>
        </w:tc>
        <w:tc>
          <w:tcPr>
            <w:tcW w:w="921" w:type="dxa"/>
            <w:tcBorders>
              <w:top w:val="nil"/>
              <w:left w:val="nil"/>
              <w:bottom w:val="single" w:sz="4" w:space="0" w:color="auto"/>
              <w:right w:val="nil"/>
            </w:tcBorders>
            <w:vAlign w:val="center"/>
          </w:tcPr>
          <w:p w14:paraId="30141027"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1,1</w:t>
            </w:r>
          </w:p>
        </w:tc>
      </w:tr>
      <w:tr w:rsidR="00C90EAF" w:rsidRPr="00C766C5" w14:paraId="06412CD7" w14:textId="77777777" w:rsidTr="00B15EDC">
        <w:trPr>
          <w:trHeight w:val="227"/>
        </w:trPr>
        <w:tc>
          <w:tcPr>
            <w:tcW w:w="2948" w:type="dxa"/>
            <w:tcBorders>
              <w:top w:val="single" w:sz="4" w:space="0" w:color="auto"/>
              <w:left w:val="nil"/>
              <w:bottom w:val="single" w:sz="4" w:space="0" w:color="auto"/>
              <w:right w:val="nil"/>
            </w:tcBorders>
            <w:shd w:val="clear" w:color="auto" w:fill="F2F2F2" w:themeFill="background1" w:themeFillShade="F2"/>
            <w:vAlign w:val="center"/>
          </w:tcPr>
          <w:p w14:paraId="370AF5F1" w14:textId="6CEACA12" w:rsidR="001E7476" w:rsidRPr="00C766C5" w:rsidRDefault="00B15EDC" w:rsidP="001E7476">
            <w:pPr>
              <w:rPr>
                <w:rFonts w:ascii="Times New Roman" w:eastAsia="Times New Roman" w:hAnsi="Times New Roman"/>
                <w:bCs/>
                <w:color w:val="000000" w:themeColor="text1"/>
                <w:sz w:val="22"/>
                <w:szCs w:val="22"/>
                <w:shd w:val="clear" w:color="auto" w:fill="FFFFFF"/>
              </w:rPr>
            </w:pPr>
            <w:r w:rsidRPr="00C766C5">
              <w:rPr>
                <w:rFonts w:ascii="Times New Roman" w:hAnsi="Times New Roman"/>
                <w:color w:val="000000" w:themeColor="text1"/>
                <w:sz w:val="22"/>
                <w:szCs w:val="22"/>
              </w:rPr>
              <w:t>Med. Comercializáveis*</w:t>
            </w:r>
            <w:r w:rsidRPr="00C766C5">
              <w:rPr>
                <w:rFonts w:ascii="Times New Roman" w:eastAsia="Times New Roman" w:hAnsi="Times New Roman"/>
                <w:bCs/>
                <w:color w:val="000000" w:themeColor="text1"/>
                <w:sz w:val="22"/>
                <w:szCs w:val="22"/>
                <w:shd w:val="clear" w:color="auto" w:fill="FFFFFF"/>
              </w:rPr>
              <w:t xml:space="preserve"> </w:t>
            </w:r>
          </w:p>
        </w:tc>
        <w:tc>
          <w:tcPr>
            <w:tcW w:w="828" w:type="dxa"/>
            <w:tcBorders>
              <w:top w:val="single" w:sz="4" w:space="0" w:color="auto"/>
              <w:left w:val="nil"/>
              <w:bottom w:val="single" w:sz="4" w:space="0" w:color="auto"/>
              <w:right w:val="nil"/>
            </w:tcBorders>
            <w:shd w:val="clear" w:color="auto" w:fill="F2F2F2" w:themeFill="background1" w:themeFillShade="F2"/>
            <w:vAlign w:val="center"/>
          </w:tcPr>
          <w:p w14:paraId="3A89F65E" w14:textId="77777777" w:rsidR="001E7476" w:rsidRPr="00C766C5" w:rsidRDefault="001E7476" w:rsidP="00B15EDC">
            <w:pPr>
              <w:jc w:val="center"/>
              <w:rPr>
                <w:rFonts w:ascii="Times New Roman" w:hAnsi="Times New Roman"/>
                <w:sz w:val="22"/>
                <w:szCs w:val="22"/>
              </w:rPr>
            </w:pPr>
            <w:r w:rsidRPr="00C766C5">
              <w:rPr>
                <w:rFonts w:ascii="Times New Roman" w:hAnsi="Times New Roman"/>
                <w:sz w:val="22"/>
                <w:szCs w:val="22"/>
              </w:rPr>
              <w:t>182,8</w:t>
            </w:r>
          </w:p>
        </w:tc>
        <w:tc>
          <w:tcPr>
            <w:tcW w:w="828" w:type="dxa"/>
            <w:tcBorders>
              <w:top w:val="single" w:sz="4" w:space="0" w:color="auto"/>
              <w:left w:val="nil"/>
              <w:bottom w:val="single" w:sz="4" w:space="0" w:color="auto"/>
              <w:right w:val="nil"/>
            </w:tcBorders>
            <w:shd w:val="clear" w:color="auto" w:fill="F2F2F2" w:themeFill="background1" w:themeFillShade="F2"/>
            <w:vAlign w:val="center"/>
          </w:tcPr>
          <w:p w14:paraId="59BD497E" w14:textId="77777777" w:rsidR="001E7476" w:rsidRPr="00C766C5" w:rsidRDefault="001E7476" w:rsidP="00B15EDC">
            <w:pPr>
              <w:jc w:val="center"/>
              <w:rPr>
                <w:rFonts w:ascii="Times New Roman" w:hAnsi="Times New Roman"/>
                <w:sz w:val="22"/>
                <w:szCs w:val="22"/>
              </w:rPr>
            </w:pPr>
            <w:r w:rsidRPr="00C766C5">
              <w:rPr>
                <w:rFonts w:ascii="Times New Roman" w:hAnsi="Times New Roman"/>
                <w:sz w:val="22"/>
                <w:szCs w:val="22"/>
              </w:rPr>
              <w:t>12,1</w:t>
            </w:r>
          </w:p>
        </w:tc>
        <w:tc>
          <w:tcPr>
            <w:tcW w:w="828" w:type="dxa"/>
            <w:tcBorders>
              <w:top w:val="single" w:sz="4" w:space="0" w:color="auto"/>
              <w:left w:val="nil"/>
              <w:bottom w:val="single" w:sz="4" w:space="0" w:color="auto"/>
              <w:right w:val="nil"/>
            </w:tcBorders>
            <w:shd w:val="clear" w:color="auto" w:fill="F2F2F2" w:themeFill="background1" w:themeFillShade="F2"/>
            <w:vAlign w:val="center"/>
          </w:tcPr>
          <w:p w14:paraId="4DB93C57" w14:textId="77777777" w:rsidR="001E7476" w:rsidRPr="00C766C5" w:rsidRDefault="001E7476" w:rsidP="00B15EDC">
            <w:pPr>
              <w:jc w:val="center"/>
              <w:rPr>
                <w:rFonts w:ascii="Times New Roman" w:hAnsi="Times New Roman"/>
                <w:sz w:val="22"/>
                <w:szCs w:val="22"/>
              </w:rPr>
            </w:pPr>
            <w:r w:rsidRPr="00C766C5">
              <w:rPr>
                <w:rFonts w:ascii="Times New Roman" w:hAnsi="Times New Roman"/>
                <w:sz w:val="22"/>
                <w:szCs w:val="22"/>
              </w:rPr>
              <w:t>23,3</w:t>
            </w:r>
          </w:p>
        </w:tc>
        <w:tc>
          <w:tcPr>
            <w:tcW w:w="828" w:type="dxa"/>
            <w:tcBorders>
              <w:top w:val="single" w:sz="4" w:space="0" w:color="auto"/>
              <w:left w:val="nil"/>
              <w:bottom w:val="single" w:sz="4" w:space="0" w:color="auto"/>
              <w:right w:val="nil"/>
            </w:tcBorders>
            <w:shd w:val="clear" w:color="auto" w:fill="F2F2F2" w:themeFill="background1" w:themeFillShade="F2"/>
            <w:vAlign w:val="center"/>
          </w:tcPr>
          <w:p w14:paraId="564CC014" w14:textId="77777777" w:rsidR="001E7476" w:rsidRPr="00C766C5" w:rsidRDefault="001E7476" w:rsidP="00B15EDC">
            <w:pPr>
              <w:jc w:val="center"/>
              <w:rPr>
                <w:rFonts w:ascii="Times New Roman" w:hAnsi="Times New Roman"/>
                <w:sz w:val="22"/>
                <w:szCs w:val="22"/>
              </w:rPr>
            </w:pPr>
            <w:r w:rsidRPr="00C766C5">
              <w:rPr>
                <w:rFonts w:ascii="Times New Roman" w:hAnsi="Times New Roman"/>
                <w:sz w:val="22"/>
                <w:szCs w:val="22"/>
              </w:rPr>
              <w:t>180,7</w:t>
            </w:r>
          </w:p>
        </w:tc>
        <w:tc>
          <w:tcPr>
            <w:tcW w:w="970"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59719D60" w14:textId="77777777" w:rsidR="001E7476" w:rsidRPr="00C766C5" w:rsidRDefault="001E7476" w:rsidP="00B15EDC">
            <w:pPr>
              <w:jc w:val="center"/>
              <w:rPr>
                <w:rFonts w:ascii="Times New Roman" w:hAnsi="Times New Roman"/>
                <w:sz w:val="22"/>
                <w:szCs w:val="22"/>
              </w:rPr>
            </w:pPr>
            <w:r w:rsidRPr="00C766C5">
              <w:rPr>
                <w:rFonts w:ascii="Times New Roman" w:hAnsi="Times New Roman"/>
                <w:sz w:val="22"/>
                <w:szCs w:val="22"/>
              </w:rPr>
              <w:t>18,5</w:t>
            </w:r>
          </w:p>
        </w:tc>
        <w:tc>
          <w:tcPr>
            <w:tcW w:w="921"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76AF4B1B" w14:textId="77777777" w:rsidR="001E7476" w:rsidRPr="00C766C5" w:rsidRDefault="001E7476" w:rsidP="00B15EDC">
            <w:pPr>
              <w:jc w:val="center"/>
              <w:rPr>
                <w:rFonts w:ascii="Times New Roman" w:hAnsi="Times New Roman"/>
                <w:sz w:val="22"/>
                <w:szCs w:val="22"/>
              </w:rPr>
            </w:pPr>
            <w:r w:rsidRPr="00C766C5">
              <w:rPr>
                <w:rFonts w:ascii="Times New Roman" w:hAnsi="Times New Roman"/>
                <w:sz w:val="22"/>
                <w:szCs w:val="22"/>
              </w:rPr>
              <w:t>15,0</w:t>
            </w:r>
          </w:p>
        </w:tc>
        <w:tc>
          <w:tcPr>
            <w:tcW w:w="921" w:type="dxa"/>
            <w:tcBorders>
              <w:top w:val="single" w:sz="4" w:space="0" w:color="auto"/>
              <w:left w:val="nil"/>
              <w:bottom w:val="single" w:sz="4" w:space="0" w:color="auto"/>
              <w:right w:val="nil"/>
            </w:tcBorders>
            <w:shd w:val="clear" w:color="auto" w:fill="F2F2F2" w:themeFill="background1" w:themeFillShade="F2"/>
            <w:vAlign w:val="center"/>
          </w:tcPr>
          <w:p w14:paraId="3DE145D7" w14:textId="77777777" w:rsidR="001E7476" w:rsidRPr="00C766C5" w:rsidRDefault="001E7476" w:rsidP="00B15EDC">
            <w:pPr>
              <w:jc w:val="center"/>
              <w:rPr>
                <w:rFonts w:ascii="Times New Roman" w:hAnsi="Times New Roman"/>
                <w:sz w:val="22"/>
                <w:szCs w:val="22"/>
              </w:rPr>
            </w:pPr>
            <w:r w:rsidRPr="00C766C5">
              <w:rPr>
                <w:rFonts w:ascii="Times New Roman" w:hAnsi="Times New Roman"/>
                <w:sz w:val="22"/>
                <w:szCs w:val="22"/>
              </w:rPr>
              <w:t>18,0</w:t>
            </w:r>
          </w:p>
        </w:tc>
      </w:tr>
      <w:tr w:rsidR="001E7476" w:rsidRPr="00C766C5" w14:paraId="7DE78397" w14:textId="77777777" w:rsidTr="00C90EAF">
        <w:trPr>
          <w:trHeight w:val="227"/>
        </w:trPr>
        <w:tc>
          <w:tcPr>
            <w:tcW w:w="2948" w:type="dxa"/>
            <w:tcBorders>
              <w:top w:val="single" w:sz="4" w:space="0" w:color="auto"/>
              <w:left w:val="nil"/>
              <w:bottom w:val="nil"/>
              <w:right w:val="nil"/>
            </w:tcBorders>
            <w:vAlign w:val="center"/>
          </w:tcPr>
          <w:p w14:paraId="0D61DE85" w14:textId="77777777" w:rsidR="001E7476" w:rsidRPr="00C766C5" w:rsidRDefault="001E7476" w:rsidP="001E7476">
            <w:pP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Banana</w:t>
            </w:r>
          </w:p>
        </w:tc>
        <w:tc>
          <w:tcPr>
            <w:tcW w:w="828" w:type="dxa"/>
            <w:tcBorders>
              <w:top w:val="single" w:sz="4" w:space="0" w:color="auto"/>
              <w:left w:val="nil"/>
              <w:bottom w:val="nil"/>
              <w:right w:val="nil"/>
            </w:tcBorders>
            <w:vAlign w:val="center"/>
          </w:tcPr>
          <w:p w14:paraId="7EA24072"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175,4</w:t>
            </w:r>
          </w:p>
        </w:tc>
        <w:tc>
          <w:tcPr>
            <w:tcW w:w="828" w:type="dxa"/>
            <w:tcBorders>
              <w:top w:val="single" w:sz="4" w:space="0" w:color="auto"/>
              <w:left w:val="nil"/>
              <w:bottom w:val="nil"/>
              <w:right w:val="nil"/>
            </w:tcBorders>
            <w:vAlign w:val="center"/>
          </w:tcPr>
          <w:p w14:paraId="318F5518"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13,5</w:t>
            </w:r>
          </w:p>
        </w:tc>
        <w:tc>
          <w:tcPr>
            <w:tcW w:w="828" w:type="dxa"/>
            <w:tcBorders>
              <w:top w:val="single" w:sz="4" w:space="0" w:color="auto"/>
              <w:left w:val="nil"/>
              <w:bottom w:val="nil"/>
              <w:right w:val="nil"/>
            </w:tcBorders>
            <w:vAlign w:val="center"/>
          </w:tcPr>
          <w:p w14:paraId="62C040F9"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11,9</w:t>
            </w:r>
          </w:p>
        </w:tc>
        <w:tc>
          <w:tcPr>
            <w:tcW w:w="828" w:type="dxa"/>
            <w:tcBorders>
              <w:top w:val="single" w:sz="4" w:space="0" w:color="auto"/>
              <w:left w:val="nil"/>
              <w:bottom w:val="nil"/>
              <w:right w:val="nil"/>
            </w:tcBorders>
            <w:vAlign w:val="center"/>
          </w:tcPr>
          <w:p w14:paraId="048986B3"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88,5</w:t>
            </w:r>
          </w:p>
        </w:tc>
        <w:tc>
          <w:tcPr>
            <w:tcW w:w="970" w:type="dxa"/>
            <w:tcBorders>
              <w:top w:val="single" w:sz="4" w:space="0" w:color="auto"/>
              <w:left w:val="nil"/>
              <w:bottom w:val="nil"/>
              <w:right w:val="single" w:sz="4" w:space="0" w:color="auto"/>
            </w:tcBorders>
            <w:vAlign w:val="center"/>
          </w:tcPr>
          <w:p w14:paraId="2B012645"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1,9</w:t>
            </w:r>
          </w:p>
        </w:tc>
        <w:tc>
          <w:tcPr>
            <w:tcW w:w="921" w:type="dxa"/>
            <w:tcBorders>
              <w:top w:val="single" w:sz="4" w:space="0" w:color="auto"/>
              <w:left w:val="single" w:sz="4" w:space="0" w:color="auto"/>
              <w:bottom w:val="nil"/>
              <w:right w:val="nil"/>
            </w:tcBorders>
            <w:vAlign w:val="center"/>
          </w:tcPr>
          <w:p w14:paraId="6625E31B"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15,9</w:t>
            </w:r>
          </w:p>
        </w:tc>
        <w:tc>
          <w:tcPr>
            <w:tcW w:w="921" w:type="dxa"/>
            <w:tcBorders>
              <w:top w:val="single" w:sz="4" w:space="0" w:color="auto"/>
              <w:left w:val="nil"/>
              <w:bottom w:val="nil"/>
              <w:right w:val="nil"/>
            </w:tcBorders>
            <w:vAlign w:val="center"/>
          </w:tcPr>
          <w:p w14:paraId="56866BEF"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2,3</w:t>
            </w:r>
          </w:p>
        </w:tc>
      </w:tr>
      <w:tr w:rsidR="001E7476" w:rsidRPr="00C766C5" w14:paraId="183B771A" w14:textId="77777777" w:rsidTr="00C90EAF">
        <w:trPr>
          <w:trHeight w:val="227"/>
        </w:trPr>
        <w:tc>
          <w:tcPr>
            <w:tcW w:w="2948" w:type="dxa"/>
            <w:tcBorders>
              <w:top w:val="nil"/>
              <w:left w:val="nil"/>
              <w:bottom w:val="nil"/>
              <w:right w:val="nil"/>
            </w:tcBorders>
            <w:vAlign w:val="center"/>
          </w:tcPr>
          <w:p w14:paraId="35B03AE8" w14:textId="77777777" w:rsidR="001E7476" w:rsidRPr="00C766C5" w:rsidRDefault="001E7476" w:rsidP="001E7476">
            <w:pP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Avicultura de Postura</w:t>
            </w:r>
          </w:p>
        </w:tc>
        <w:tc>
          <w:tcPr>
            <w:tcW w:w="828" w:type="dxa"/>
            <w:tcBorders>
              <w:top w:val="nil"/>
              <w:left w:val="nil"/>
              <w:bottom w:val="nil"/>
              <w:right w:val="nil"/>
            </w:tcBorders>
            <w:vAlign w:val="center"/>
          </w:tcPr>
          <w:p w14:paraId="44D0A448"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215,6</w:t>
            </w:r>
          </w:p>
        </w:tc>
        <w:tc>
          <w:tcPr>
            <w:tcW w:w="828" w:type="dxa"/>
            <w:tcBorders>
              <w:top w:val="nil"/>
              <w:left w:val="nil"/>
              <w:bottom w:val="nil"/>
              <w:right w:val="nil"/>
            </w:tcBorders>
            <w:vAlign w:val="center"/>
          </w:tcPr>
          <w:p w14:paraId="133B3B5F"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16,6</w:t>
            </w:r>
          </w:p>
        </w:tc>
        <w:tc>
          <w:tcPr>
            <w:tcW w:w="828" w:type="dxa"/>
            <w:tcBorders>
              <w:top w:val="nil"/>
              <w:left w:val="nil"/>
              <w:bottom w:val="nil"/>
              <w:right w:val="nil"/>
            </w:tcBorders>
            <w:vAlign w:val="center"/>
          </w:tcPr>
          <w:p w14:paraId="62615D7D"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8,3</w:t>
            </w:r>
          </w:p>
        </w:tc>
        <w:tc>
          <w:tcPr>
            <w:tcW w:w="828" w:type="dxa"/>
            <w:tcBorders>
              <w:top w:val="nil"/>
              <w:left w:val="nil"/>
              <w:bottom w:val="nil"/>
              <w:right w:val="nil"/>
            </w:tcBorders>
            <w:vAlign w:val="center"/>
          </w:tcPr>
          <w:p w14:paraId="4C4C642B"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49,9</w:t>
            </w:r>
          </w:p>
        </w:tc>
        <w:tc>
          <w:tcPr>
            <w:tcW w:w="970" w:type="dxa"/>
            <w:tcBorders>
              <w:top w:val="nil"/>
              <w:left w:val="nil"/>
              <w:bottom w:val="nil"/>
              <w:right w:val="single" w:sz="4" w:space="0" w:color="auto"/>
            </w:tcBorders>
            <w:vAlign w:val="center"/>
          </w:tcPr>
          <w:p w14:paraId="29ABA4B5"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1,9</w:t>
            </w:r>
          </w:p>
        </w:tc>
        <w:tc>
          <w:tcPr>
            <w:tcW w:w="921" w:type="dxa"/>
            <w:tcBorders>
              <w:top w:val="nil"/>
              <w:left w:val="single" w:sz="4" w:space="0" w:color="auto"/>
              <w:bottom w:val="nil"/>
              <w:right w:val="nil"/>
            </w:tcBorders>
            <w:vAlign w:val="center"/>
          </w:tcPr>
          <w:p w14:paraId="38DA7A7D"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13,1</w:t>
            </w:r>
          </w:p>
        </w:tc>
        <w:tc>
          <w:tcPr>
            <w:tcW w:w="921" w:type="dxa"/>
            <w:tcBorders>
              <w:top w:val="nil"/>
              <w:left w:val="nil"/>
              <w:bottom w:val="nil"/>
              <w:right w:val="nil"/>
            </w:tcBorders>
            <w:vAlign w:val="center"/>
          </w:tcPr>
          <w:p w14:paraId="3099D2DF"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1,6</w:t>
            </w:r>
          </w:p>
        </w:tc>
      </w:tr>
      <w:tr w:rsidR="001E7476" w:rsidRPr="00C766C5" w14:paraId="49B93249" w14:textId="77777777" w:rsidTr="00C90EAF">
        <w:trPr>
          <w:trHeight w:val="227"/>
        </w:trPr>
        <w:tc>
          <w:tcPr>
            <w:tcW w:w="2948" w:type="dxa"/>
            <w:tcBorders>
              <w:top w:val="nil"/>
              <w:left w:val="nil"/>
              <w:bottom w:val="nil"/>
              <w:right w:val="nil"/>
            </w:tcBorders>
            <w:vAlign w:val="center"/>
          </w:tcPr>
          <w:p w14:paraId="3C54DBDD" w14:textId="77777777" w:rsidR="001E7476" w:rsidRPr="00C766C5" w:rsidRDefault="001E7476" w:rsidP="001E7476">
            <w:pP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Tomate</w:t>
            </w:r>
          </w:p>
        </w:tc>
        <w:tc>
          <w:tcPr>
            <w:tcW w:w="828" w:type="dxa"/>
            <w:tcBorders>
              <w:top w:val="nil"/>
              <w:left w:val="nil"/>
              <w:bottom w:val="nil"/>
              <w:right w:val="nil"/>
            </w:tcBorders>
            <w:vAlign w:val="center"/>
          </w:tcPr>
          <w:p w14:paraId="1E8388B3"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135,6</w:t>
            </w:r>
          </w:p>
        </w:tc>
        <w:tc>
          <w:tcPr>
            <w:tcW w:w="828" w:type="dxa"/>
            <w:tcBorders>
              <w:top w:val="nil"/>
              <w:left w:val="nil"/>
              <w:bottom w:val="nil"/>
              <w:right w:val="nil"/>
            </w:tcBorders>
            <w:vAlign w:val="center"/>
          </w:tcPr>
          <w:p w14:paraId="37200595"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10,4</w:t>
            </w:r>
          </w:p>
        </w:tc>
        <w:tc>
          <w:tcPr>
            <w:tcW w:w="828" w:type="dxa"/>
            <w:tcBorders>
              <w:top w:val="nil"/>
              <w:left w:val="nil"/>
              <w:bottom w:val="nil"/>
              <w:right w:val="nil"/>
            </w:tcBorders>
            <w:vAlign w:val="center"/>
          </w:tcPr>
          <w:p w14:paraId="6282F4B3"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42,0</w:t>
            </w:r>
          </w:p>
        </w:tc>
        <w:tc>
          <w:tcPr>
            <w:tcW w:w="828" w:type="dxa"/>
            <w:tcBorders>
              <w:top w:val="nil"/>
              <w:left w:val="nil"/>
              <w:bottom w:val="nil"/>
              <w:right w:val="nil"/>
            </w:tcBorders>
            <w:vAlign w:val="center"/>
          </w:tcPr>
          <w:p w14:paraId="54F2737B"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402,6</w:t>
            </w:r>
          </w:p>
        </w:tc>
        <w:tc>
          <w:tcPr>
            <w:tcW w:w="970" w:type="dxa"/>
            <w:tcBorders>
              <w:top w:val="nil"/>
              <w:left w:val="nil"/>
              <w:bottom w:val="nil"/>
              <w:right w:val="single" w:sz="4" w:space="0" w:color="auto"/>
            </w:tcBorders>
            <w:vAlign w:val="center"/>
          </w:tcPr>
          <w:p w14:paraId="74452A92"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2,1</w:t>
            </w:r>
          </w:p>
        </w:tc>
        <w:tc>
          <w:tcPr>
            <w:tcW w:w="921" w:type="dxa"/>
            <w:tcBorders>
              <w:top w:val="nil"/>
              <w:left w:val="single" w:sz="4" w:space="0" w:color="auto"/>
              <w:bottom w:val="nil"/>
              <w:right w:val="nil"/>
            </w:tcBorders>
            <w:vAlign w:val="center"/>
          </w:tcPr>
          <w:p w14:paraId="1C7F0AAB"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28,4</w:t>
            </w:r>
          </w:p>
        </w:tc>
        <w:tc>
          <w:tcPr>
            <w:tcW w:w="921" w:type="dxa"/>
            <w:tcBorders>
              <w:top w:val="nil"/>
              <w:left w:val="nil"/>
              <w:bottom w:val="nil"/>
              <w:right w:val="nil"/>
            </w:tcBorders>
            <w:vAlign w:val="center"/>
          </w:tcPr>
          <w:p w14:paraId="50C8FDB0"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4,4</w:t>
            </w:r>
          </w:p>
        </w:tc>
      </w:tr>
      <w:tr w:rsidR="001E7476" w:rsidRPr="00C766C5" w14:paraId="7BB4AE32" w14:textId="77777777" w:rsidTr="00C90EAF">
        <w:trPr>
          <w:trHeight w:val="227"/>
        </w:trPr>
        <w:tc>
          <w:tcPr>
            <w:tcW w:w="2948" w:type="dxa"/>
            <w:tcBorders>
              <w:top w:val="nil"/>
              <w:left w:val="nil"/>
              <w:bottom w:val="single" w:sz="4" w:space="0" w:color="auto"/>
              <w:right w:val="nil"/>
            </w:tcBorders>
            <w:vAlign w:val="center"/>
          </w:tcPr>
          <w:p w14:paraId="60CB0331" w14:textId="77777777" w:rsidR="001E7476" w:rsidRPr="00C766C5" w:rsidRDefault="001E7476" w:rsidP="001E7476">
            <w:pP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Mandioca</w:t>
            </w:r>
          </w:p>
        </w:tc>
        <w:tc>
          <w:tcPr>
            <w:tcW w:w="828" w:type="dxa"/>
            <w:tcBorders>
              <w:top w:val="nil"/>
              <w:left w:val="nil"/>
              <w:bottom w:val="single" w:sz="4" w:space="0" w:color="auto"/>
              <w:right w:val="nil"/>
            </w:tcBorders>
            <w:vAlign w:val="center"/>
          </w:tcPr>
          <w:p w14:paraId="6746657C"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204,6</w:t>
            </w:r>
          </w:p>
        </w:tc>
        <w:tc>
          <w:tcPr>
            <w:tcW w:w="828" w:type="dxa"/>
            <w:tcBorders>
              <w:top w:val="nil"/>
              <w:left w:val="nil"/>
              <w:bottom w:val="single" w:sz="4" w:space="0" w:color="auto"/>
              <w:right w:val="nil"/>
            </w:tcBorders>
            <w:vAlign w:val="center"/>
          </w:tcPr>
          <w:p w14:paraId="12B03B76"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15,7</w:t>
            </w:r>
          </w:p>
        </w:tc>
        <w:tc>
          <w:tcPr>
            <w:tcW w:w="828" w:type="dxa"/>
            <w:tcBorders>
              <w:top w:val="nil"/>
              <w:left w:val="nil"/>
              <w:bottom w:val="single" w:sz="4" w:space="0" w:color="auto"/>
              <w:right w:val="nil"/>
            </w:tcBorders>
            <w:vAlign w:val="center"/>
          </w:tcPr>
          <w:p w14:paraId="0DE5E98C"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30,9</w:t>
            </w:r>
          </w:p>
        </w:tc>
        <w:tc>
          <w:tcPr>
            <w:tcW w:w="828" w:type="dxa"/>
            <w:tcBorders>
              <w:top w:val="nil"/>
              <w:left w:val="nil"/>
              <w:bottom w:val="single" w:sz="4" w:space="0" w:color="auto"/>
              <w:right w:val="nil"/>
            </w:tcBorders>
            <w:vAlign w:val="center"/>
          </w:tcPr>
          <w:p w14:paraId="483D64DE"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196,6</w:t>
            </w:r>
          </w:p>
        </w:tc>
        <w:tc>
          <w:tcPr>
            <w:tcW w:w="970" w:type="dxa"/>
            <w:tcBorders>
              <w:top w:val="nil"/>
              <w:left w:val="nil"/>
              <w:bottom w:val="single" w:sz="4" w:space="0" w:color="auto"/>
              <w:right w:val="single" w:sz="4" w:space="0" w:color="auto"/>
            </w:tcBorders>
            <w:vAlign w:val="center"/>
          </w:tcPr>
          <w:p w14:paraId="76537DA6"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1,2</w:t>
            </w:r>
          </w:p>
        </w:tc>
        <w:tc>
          <w:tcPr>
            <w:tcW w:w="921" w:type="dxa"/>
            <w:tcBorders>
              <w:top w:val="nil"/>
              <w:left w:val="single" w:sz="4" w:space="0" w:color="auto"/>
              <w:bottom w:val="single" w:sz="4" w:space="0" w:color="auto"/>
              <w:right w:val="nil"/>
            </w:tcBorders>
            <w:vAlign w:val="center"/>
          </w:tcPr>
          <w:p w14:paraId="7C0843CF"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11,9</w:t>
            </w:r>
          </w:p>
        </w:tc>
        <w:tc>
          <w:tcPr>
            <w:tcW w:w="921" w:type="dxa"/>
            <w:tcBorders>
              <w:top w:val="nil"/>
              <w:left w:val="nil"/>
              <w:bottom w:val="single" w:sz="4" w:space="0" w:color="auto"/>
              <w:right w:val="nil"/>
            </w:tcBorders>
            <w:vAlign w:val="center"/>
          </w:tcPr>
          <w:p w14:paraId="641E5BCD" w14:textId="77777777" w:rsidR="001E7476" w:rsidRPr="00C766C5" w:rsidRDefault="001E7476" w:rsidP="001E7476">
            <w:pPr>
              <w:jc w:val="center"/>
              <w:rPr>
                <w:rFonts w:ascii="Times New Roman" w:eastAsia="Times New Roman" w:hAnsi="Times New Roman"/>
                <w:bCs/>
                <w:color w:val="000000" w:themeColor="text1"/>
                <w:sz w:val="22"/>
                <w:szCs w:val="22"/>
                <w:shd w:val="clear" w:color="auto" w:fill="FFFFFF"/>
              </w:rPr>
            </w:pPr>
            <w:r w:rsidRPr="00C766C5">
              <w:rPr>
                <w:rFonts w:ascii="Times New Roman" w:eastAsia="Times New Roman" w:hAnsi="Times New Roman"/>
                <w:bCs/>
                <w:color w:val="000000" w:themeColor="text1"/>
                <w:sz w:val="22"/>
                <w:szCs w:val="22"/>
                <w:shd w:val="clear" w:color="auto" w:fill="FFFFFF"/>
              </w:rPr>
              <w:t>0,8</w:t>
            </w:r>
          </w:p>
        </w:tc>
      </w:tr>
      <w:tr w:rsidR="00C90EAF" w:rsidRPr="00C766C5" w14:paraId="3D55545B" w14:textId="77777777" w:rsidTr="00B15EDC">
        <w:trPr>
          <w:trHeight w:val="227"/>
        </w:trPr>
        <w:tc>
          <w:tcPr>
            <w:tcW w:w="2948" w:type="dxa"/>
            <w:tcBorders>
              <w:top w:val="single" w:sz="4" w:space="0" w:color="auto"/>
              <w:left w:val="nil"/>
              <w:bottom w:val="single" w:sz="4" w:space="0" w:color="auto"/>
              <w:right w:val="nil"/>
            </w:tcBorders>
            <w:shd w:val="clear" w:color="auto" w:fill="F2F2F2" w:themeFill="background1" w:themeFillShade="F2"/>
            <w:vAlign w:val="center"/>
          </w:tcPr>
          <w:p w14:paraId="5D8BB57D" w14:textId="59C206D7" w:rsidR="001E7476" w:rsidRPr="00C766C5" w:rsidRDefault="00B15EDC" w:rsidP="001E7476">
            <w:pPr>
              <w:rPr>
                <w:rFonts w:ascii="Times New Roman" w:eastAsia="Times New Roman" w:hAnsi="Times New Roman"/>
                <w:bCs/>
                <w:color w:val="000000" w:themeColor="text1"/>
                <w:sz w:val="22"/>
                <w:szCs w:val="22"/>
                <w:shd w:val="clear" w:color="auto" w:fill="FFFFFF"/>
              </w:rPr>
            </w:pPr>
            <w:r w:rsidRPr="00C766C5">
              <w:rPr>
                <w:rFonts w:ascii="Times New Roman" w:hAnsi="Times New Roman"/>
                <w:color w:val="000000" w:themeColor="text1"/>
                <w:sz w:val="22"/>
                <w:szCs w:val="22"/>
              </w:rPr>
              <w:t>Não Comercializáveis*</w:t>
            </w:r>
            <w:r w:rsidRPr="00C766C5">
              <w:rPr>
                <w:rFonts w:ascii="Times New Roman" w:eastAsia="Times New Roman" w:hAnsi="Times New Roman"/>
                <w:bCs/>
                <w:color w:val="000000" w:themeColor="text1"/>
                <w:sz w:val="22"/>
                <w:szCs w:val="22"/>
                <w:shd w:val="clear" w:color="auto" w:fill="FFFFFF"/>
              </w:rPr>
              <w:t xml:space="preserve"> </w:t>
            </w:r>
          </w:p>
        </w:tc>
        <w:tc>
          <w:tcPr>
            <w:tcW w:w="828" w:type="dxa"/>
            <w:tcBorders>
              <w:top w:val="single" w:sz="4" w:space="0" w:color="auto"/>
              <w:left w:val="nil"/>
              <w:bottom w:val="single" w:sz="4" w:space="0" w:color="auto"/>
              <w:right w:val="nil"/>
            </w:tcBorders>
            <w:shd w:val="clear" w:color="auto" w:fill="F2F2F2" w:themeFill="background1" w:themeFillShade="F2"/>
            <w:vAlign w:val="center"/>
          </w:tcPr>
          <w:p w14:paraId="53BE6A08" w14:textId="77777777" w:rsidR="001E7476" w:rsidRPr="00C766C5" w:rsidRDefault="001E7476" w:rsidP="00B15EDC">
            <w:pPr>
              <w:jc w:val="center"/>
              <w:rPr>
                <w:rFonts w:ascii="Times New Roman" w:hAnsi="Times New Roman"/>
                <w:sz w:val="22"/>
                <w:szCs w:val="22"/>
              </w:rPr>
            </w:pPr>
            <w:r w:rsidRPr="00C766C5">
              <w:rPr>
                <w:rFonts w:ascii="Times New Roman" w:hAnsi="Times New Roman"/>
                <w:sz w:val="22"/>
                <w:szCs w:val="22"/>
              </w:rPr>
              <w:t>198,2</w:t>
            </w:r>
          </w:p>
        </w:tc>
        <w:tc>
          <w:tcPr>
            <w:tcW w:w="828" w:type="dxa"/>
            <w:tcBorders>
              <w:top w:val="single" w:sz="4" w:space="0" w:color="auto"/>
              <w:left w:val="nil"/>
              <w:bottom w:val="single" w:sz="4" w:space="0" w:color="auto"/>
              <w:right w:val="nil"/>
            </w:tcBorders>
            <w:shd w:val="clear" w:color="auto" w:fill="F2F2F2" w:themeFill="background1" w:themeFillShade="F2"/>
            <w:vAlign w:val="center"/>
          </w:tcPr>
          <w:p w14:paraId="4AF684C8" w14:textId="77777777" w:rsidR="001E7476" w:rsidRPr="00C766C5" w:rsidRDefault="001E7476" w:rsidP="00B15EDC">
            <w:pPr>
              <w:jc w:val="center"/>
              <w:rPr>
                <w:rFonts w:ascii="Times New Roman" w:hAnsi="Times New Roman"/>
                <w:sz w:val="22"/>
                <w:szCs w:val="22"/>
              </w:rPr>
            </w:pPr>
            <w:r w:rsidRPr="00C766C5">
              <w:rPr>
                <w:rFonts w:ascii="Times New Roman" w:hAnsi="Times New Roman"/>
                <w:sz w:val="22"/>
                <w:szCs w:val="22"/>
              </w:rPr>
              <w:t>14,1</w:t>
            </w:r>
          </w:p>
        </w:tc>
        <w:tc>
          <w:tcPr>
            <w:tcW w:w="828" w:type="dxa"/>
            <w:tcBorders>
              <w:top w:val="single" w:sz="4" w:space="0" w:color="auto"/>
              <w:left w:val="nil"/>
              <w:bottom w:val="single" w:sz="4" w:space="0" w:color="auto"/>
              <w:right w:val="nil"/>
            </w:tcBorders>
            <w:shd w:val="clear" w:color="auto" w:fill="F2F2F2" w:themeFill="background1" w:themeFillShade="F2"/>
            <w:vAlign w:val="center"/>
          </w:tcPr>
          <w:p w14:paraId="6E50B842" w14:textId="77777777" w:rsidR="001E7476" w:rsidRPr="00C766C5" w:rsidRDefault="001E7476" w:rsidP="00B15EDC">
            <w:pPr>
              <w:jc w:val="center"/>
              <w:rPr>
                <w:rFonts w:ascii="Times New Roman" w:hAnsi="Times New Roman"/>
                <w:sz w:val="22"/>
                <w:szCs w:val="22"/>
              </w:rPr>
            </w:pPr>
            <w:r w:rsidRPr="00C766C5">
              <w:rPr>
                <w:rFonts w:ascii="Times New Roman" w:hAnsi="Times New Roman"/>
                <w:sz w:val="22"/>
                <w:szCs w:val="22"/>
              </w:rPr>
              <w:t>30,7</w:t>
            </w:r>
          </w:p>
        </w:tc>
        <w:tc>
          <w:tcPr>
            <w:tcW w:w="828" w:type="dxa"/>
            <w:tcBorders>
              <w:top w:val="single" w:sz="4" w:space="0" w:color="auto"/>
              <w:left w:val="nil"/>
              <w:bottom w:val="single" w:sz="4" w:space="0" w:color="auto"/>
              <w:right w:val="nil"/>
            </w:tcBorders>
            <w:shd w:val="clear" w:color="auto" w:fill="F2F2F2" w:themeFill="background1" w:themeFillShade="F2"/>
            <w:vAlign w:val="center"/>
          </w:tcPr>
          <w:p w14:paraId="29B9A062" w14:textId="77777777" w:rsidR="001E7476" w:rsidRPr="00C766C5" w:rsidRDefault="001E7476" w:rsidP="00B15EDC">
            <w:pPr>
              <w:jc w:val="center"/>
              <w:rPr>
                <w:rFonts w:ascii="Times New Roman" w:hAnsi="Times New Roman"/>
                <w:sz w:val="22"/>
                <w:szCs w:val="22"/>
              </w:rPr>
            </w:pPr>
            <w:r w:rsidRPr="00C766C5">
              <w:rPr>
                <w:rFonts w:ascii="Times New Roman" w:hAnsi="Times New Roman"/>
                <w:sz w:val="22"/>
                <w:szCs w:val="22"/>
              </w:rPr>
              <w:t>184,4</w:t>
            </w:r>
          </w:p>
        </w:tc>
        <w:tc>
          <w:tcPr>
            <w:tcW w:w="970"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514A925D" w14:textId="77777777" w:rsidR="001E7476" w:rsidRPr="00C766C5" w:rsidRDefault="001E7476" w:rsidP="00B15EDC">
            <w:pPr>
              <w:jc w:val="center"/>
              <w:rPr>
                <w:rFonts w:ascii="Times New Roman" w:hAnsi="Times New Roman"/>
                <w:sz w:val="22"/>
                <w:szCs w:val="22"/>
              </w:rPr>
            </w:pPr>
            <w:r w:rsidRPr="00C766C5">
              <w:rPr>
                <w:rFonts w:ascii="Times New Roman" w:hAnsi="Times New Roman"/>
                <w:sz w:val="22"/>
                <w:szCs w:val="22"/>
              </w:rPr>
              <w:t>7,0</w:t>
            </w:r>
          </w:p>
        </w:tc>
        <w:tc>
          <w:tcPr>
            <w:tcW w:w="921"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34DDCD8E" w14:textId="77777777" w:rsidR="001E7476" w:rsidRPr="00C766C5" w:rsidRDefault="001E7476" w:rsidP="00B15EDC">
            <w:pPr>
              <w:jc w:val="center"/>
              <w:rPr>
                <w:rFonts w:ascii="Times New Roman" w:hAnsi="Times New Roman"/>
                <w:sz w:val="22"/>
                <w:szCs w:val="22"/>
              </w:rPr>
            </w:pPr>
            <w:r w:rsidRPr="00C766C5">
              <w:rPr>
                <w:rFonts w:ascii="Times New Roman" w:hAnsi="Times New Roman"/>
                <w:sz w:val="22"/>
                <w:szCs w:val="22"/>
              </w:rPr>
              <w:t>17,3</w:t>
            </w:r>
          </w:p>
        </w:tc>
        <w:tc>
          <w:tcPr>
            <w:tcW w:w="921" w:type="dxa"/>
            <w:tcBorders>
              <w:top w:val="single" w:sz="4" w:space="0" w:color="auto"/>
              <w:left w:val="nil"/>
              <w:bottom w:val="single" w:sz="4" w:space="0" w:color="auto"/>
              <w:right w:val="nil"/>
            </w:tcBorders>
            <w:shd w:val="clear" w:color="auto" w:fill="F2F2F2" w:themeFill="background1" w:themeFillShade="F2"/>
            <w:vAlign w:val="center"/>
          </w:tcPr>
          <w:p w14:paraId="3C239D46" w14:textId="77777777" w:rsidR="001E7476" w:rsidRPr="00C766C5" w:rsidRDefault="001E7476" w:rsidP="00B15EDC">
            <w:pPr>
              <w:jc w:val="center"/>
              <w:rPr>
                <w:rFonts w:ascii="Times New Roman" w:hAnsi="Times New Roman"/>
                <w:sz w:val="22"/>
                <w:szCs w:val="22"/>
              </w:rPr>
            </w:pPr>
            <w:r w:rsidRPr="00C766C5">
              <w:rPr>
                <w:rFonts w:ascii="Times New Roman" w:hAnsi="Times New Roman"/>
                <w:sz w:val="22"/>
                <w:szCs w:val="22"/>
              </w:rPr>
              <w:t>9,1</w:t>
            </w:r>
          </w:p>
        </w:tc>
      </w:tr>
    </w:tbl>
    <w:p w14:paraId="285BD0AA" w14:textId="145AD937" w:rsidR="00C90EAF" w:rsidRDefault="001E7476" w:rsidP="00C90EAF">
      <w:pPr>
        <w:spacing w:after="0" w:line="240" w:lineRule="auto"/>
        <w:jc w:val="both"/>
        <w:textAlignment w:val="baseline"/>
        <w:rPr>
          <w:rFonts w:ascii="Times New Roman" w:eastAsia="Times New Roman" w:hAnsi="Times New Roman" w:cs="Times New Roman"/>
          <w:bCs/>
          <w:color w:val="000000" w:themeColor="text1"/>
          <w:sz w:val="24"/>
          <w:szCs w:val="24"/>
          <w:shd w:val="clear" w:color="auto" w:fill="FFFFFF"/>
        </w:rPr>
      </w:pPr>
      <w:r w:rsidRPr="001E7476">
        <w:rPr>
          <w:rFonts w:ascii="Times New Roman" w:eastAsia="Times New Roman" w:hAnsi="Times New Roman" w:cs="Times New Roman"/>
          <w:b/>
          <w:color w:val="000000" w:themeColor="text1"/>
          <w:sz w:val="24"/>
          <w:szCs w:val="24"/>
          <w:shd w:val="clear" w:color="auto" w:fill="FFFFFF"/>
        </w:rPr>
        <w:t>Fonte:</w:t>
      </w:r>
      <w:r w:rsidRPr="001E7476">
        <w:rPr>
          <w:rFonts w:ascii="Times New Roman" w:eastAsia="Times New Roman" w:hAnsi="Times New Roman" w:cs="Times New Roman"/>
          <w:bCs/>
          <w:color w:val="000000" w:themeColor="text1"/>
          <w:sz w:val="24"/>
          <w:szCs w:val="24"/>
          <w:shd w:val="clear" w:color="auto" w:fill="FFFFFF"/>
        </w:rPr>
        <w:t xml:space="preserve"> IBGE (</w:t>
      </w:r>
      <w:r w:rsidRPr="008B1EDC">
        <w:rPr>
          <w:rFonts w:ascii="Times New Roman" w:eastAsia="Times New Roman" w:hAnsi="Times New Roman" w:cs="Times New Roman"/>
          <w:bCs/>
          <w:color w:val="000000" w:themeColor="text1"/>
          <w:sz w:val="24"/>
          <w:szCs w:val="24"/>
          <w:shd w:val="clear" w:color="auto" w:fill="FFFFFF"/>
        </w:rPr>
        <w:t>2022</w:t>
      </w:r>
      <w:r w:rsidR="008B1EDC" w:rsidRPr="008B1EDC">
        <w:rPr>
          <w:rFonts w:ascii="Times New Roman" w:eastAsia="Times New Roman" w:hAnsi="Times New Roman" w:cs="Times New Roman"/>
          <w:bCs/>
          <w:color w:val="000000" w:themeColor="text1"/>
          <w:sz w:val="24"/>
          <w:szCs w:val="24"/>
          <w:shd w:val="clear" w:color="auto" w:fill="FFFFFF"/>
        </w:rPr>
        <w:t>b</w:t>
      </w:r>
      <w:r w:rsidRPr="001E7476">
        <w:rPr>
          <w:rFonts w:ascii="Times New Roman" w:eastAsia="Times New Roman" w:hAnsi="Times New Roman" w:cs="Times New Roman"/>
          <w:bCs/>
          <w:color w:val="000000" w:themeColor="text1"/>
          <w:sz w:val="24"/>
          <w:szCs w:val="24"/>
          <w:shd w:val="clear" w:color="auto" w:fill="FFFFFF"/>
        </w:rPr>
        <w:t xml:space="preserve">). * Valores médios, exceto contribuição para IPAD, que é a soma. DP = desvio padrão. CV = coeficiente de variação. CIPAD </w:t>
      </w:r>
      <w:r w:rsidRPr="00C90EAF">
        <w:rPr>
          <w:rFonts w:ascii="Times New Roman" w:eastAsia="Times New Roman" w:hAnsi="Times New Roman" w:cs="Times New Roman"/>
          <w:b/>
          <w:color w:val="000000" w:themeColor="text1"/>
          <w:sz w:val="24"/>
          <w:szCs w:val="24"/>
          <w:shd w:val="clear" w:color="auto" w:fill="FFFFFF"/>
        </w:rPr>
        <w:t xml:space="preserve">= </w:t>
      </w:r>
      <w:r w:rsidRPr="00C90EAF">
        <w:rPr>
          <w:rFonts w:ascii="Times New Roman" w:eastAsia="Times New Roman" w:hAnsi="Times New Roman" w:cs="Times New Roman"/>
          <w:bCs/>
          <w:color w:val="000000" w:themeColor="text1"/>
          <w:sz w:val="24"/>
          <w:szCs w:val="24"/>
          <w:shd w:val="clear" w:color="auto" w:fill="FFFFFF"/>
        </w:rPr>
        <w:t>contribuição</w:t>
      </w:r>
      <w:r w:rsidRPr="001E7476">
        <w:rPr>
          <w:rFonts w:ascii="Times New Roman" w:eastAsia="Times New Roman" w:hAnsi="Times New Roman" w:cs="Times New Roman"/>
          <w:bCs/>
          <w:color w:val="000000" w:themeColor="text1"/>
          <w:sz w:val="24"/>
          <w:szCs w:val="24"/>
          <w:shd w:val="clear" w:color="auto" w:fill="FFFFFF"/>
        </w:rPr>
        <w:t xml:space="preserve"> para inflação de alimentos no domicílio.</w:t>
      </w:r>
    </w:p>
    <w:p w14:paraId="448734B5" w14:textId="77777777" w:rsidR="001E7476" w:rsidRDefault="001E7476" w:rsidP="001E7476">
      <w:pPr>
        <w:pStyle w:val="NormalWeb"/>
        <w:shd w:val="clear" w:color="auto" w:fill="FFFFFF"/>
        <w:spacing w:before="0" w:after="0"/>
        <w:ind w:firstLine="708"/>
        <w:jc w:val="both"/>
        <w:textAlignment w:val="baseline"/>
        <w:rPr>
          <w:bCs/>
          <w:color w:val="000000" w:themeColor="text1"/>
          <w:szCs w:val="24"/>
          <w:shd w:val="clear" w:color="auto" w:fill="FFFFFF"/>
        </w:rPr>
      </w:pPr>
      <w:r w:rsidRPr="007B17E3">
        <w:rPr>
          <w:bCs/>
          <w:color w:val="000000" w:themeColor="text1"/>
          <w:szCs w:val="24"/>
          <w:shd w:val="clear" w:color="auto" w:fill="FFFFFF"/>
        </w:rPr>
        <w:t xml:space="preserve">Entre os </w:t>
      </w:r>
      <w:r>
        <w:rPr>
          <w:bCs/>
          <w:color w:val="000000" w:themeColor="text1"/>
          <w:szCs w:val="24"/>
          <w:shd w:val="clear" w:color="auto" w:fill="FFFFFF"/>
        </w:rPr>
        <w:t>medianamente comercializáveis</w:t>
      </w:r>
      <w:r w:rsidRPr="007B17E3">
        <w:rPr>
          <w:bCs/>
          <w:color w:val="000000" w:themeColor="text1"/>
          <w:szCs w:val="24"/>
          <w:shd w:val="clear" w:color="auto" w:fill="FFFFFF"/>
        </w:rPr>
        <w:t xml:space="preserve">, </w:t>
      </w:r>
      <w:r>
        <w:rPr>
          <w:bCs/>
          <w:color w:val="000000" w:themeColor="text1"/>
          <w:szCs w:val="24"/>
          <w:shd w:val="clear" w:color="auto" w:fill="FFFFFF"/>
        </w:rPr>
        <w:t>a variação média de preços foi bem mais alta em comparação a dos comercializáveis, alcançando 182,8%. O arroz apresentou variação relativamente baixa de preços, a bovinocultura de leite, média e o feijão e a batata, alta. Este grupo contribuiu com 18,5% da IPAD.</w:t>
      </w:r>
    </w:p>
    <w:p w14:paraId="11FDE65D" w14:textId="77777777" w:rsidR="001E7476" w:rsidRDefault="001E7476" w:rsidP="001E7476">
      <w:pPr>
        <w:pStyle w:val="NormalWeb"/>
        <w:shd w:val="clear" w:color="auto" w:fill="FFFFFF"/>
        <w:spacing w:before="0" w:after="0"/>
        <w:ind w:firstLine="708"/>
        <w:jc w:val="both"/>
        <w:textAlignment w:val="baseline"/>
        <w:rPr>
          <w:bCs/>
          <w:color w:val="000000" w:themeColor="text1"/>
          <w:szCs w:val="24"/>
          <w:shd w:val="clear" w:color="auto" w:fill="FFFFFF"/>
        </w:rPr>
      </w:pPr>
      <w:r>
        <w:rPr>
          <w:bCs/>
          <w:color w:val="000000" w:themeColor="text1"/>
          <w:szCs w:val="24"/>
          <w:shd w:val="clear" w:color="auto" w:fill="FFFFFF"/>
        </w:rPr>
        <w:t xml:space="preserve">A maior variação de preços dos alimentos foi constatada entre os não comercializáveis, </w:t>
      </w:r>
      <w:r w:rsidRPr="008B1EDC">
        <w:rPr>
          <w:bCs/>
          <w:color w:val="000000" w:themeColor="text1"/>
          <w:szCs w:val="24"/>
          <w:shd w:val="clear" w:color="auto" w:fill="FFFFFF"/>
        </w:rPr>
        <w:t>fato que contradiz o estudo do IPEA (2011), apresentado anteriormente. Nenhuma cadeia</w:t>
      </w:r>
      <w:r>
        <w:rPr>
          <w:bCs/>
          <w:color w:val="000000" w:themeColor="text1"/>
          <w:szCs w:val="24"/>
          <w:shd w:val="clear" w:color="auto" w:fill="FFFFFF"/>
        </w:rPr>
        <w:t xml:space="preserve"> apresentou variação baixa de preços, o tomate apresentou variação média e as outras três, banana, avicultura de postura e mandioca, alta. Como os produtos destas cadeias têm participação baixa nos gastos do consumidor, embora seus preços tenham aumentado mais, sua contribuição para a IAD foi a menor dos três grupos, de 7,0%.</w:t>
      </w:r>
    </w:p>
    <w:p w14:paraId="547B32C2" w14:textId="77777777" w:rsidR="001E7476" w:rsidRDefault="001E7476" w:rsidP="001E7476">
      <w:pPr>
        <w:pStyle w:val="NormalWeb"/>
        <w:shd w:val="clear" w:color="auto" w:fill="FFFFFF"/>
        <w:spacing w:before="0" w:after="0"/>
        <w:ind w:firstLine="708"/>
        <w:jc w:val="both"/>
        <w:textAlignment w:val="baseline"/>
        <w:rPr>
          <w:bCs/>
          <w:color w:val="000000" w:themeColor="text1"/>
          <w:szCs w:val="24"/>
          <w:shd w:val="clear" w:color="auto" w:fill="FFFFFF"/>
        </w:rPr>
      </w:pPr>
      <w:r>
        <w:rPr>
          <w:bCs/>
          <w:color w:val="000000" w:themeColor="text1"/>
          <w:szCs w:val="24"/>
          <w:shd w:val="clear" w:color="auto" w:fill="FFFFFF"/>
        </w:rPr>
        <w:t xml:space="preserve">Todos os três grupos e as 19 cadeias apresentaram altos valores do desvio padrão e do coeficiente de variação, o que é condizente com as flutuações de preços que normalmente se verificam entre as </w:t>
      </w:r>
      <w:r w:rsidRPr="00C37B23">
        <w:rPr>
          <w:bCs/>
          <w:i/>
          <w:color w:val="000000" w:themeColor="text1"/>
          <w:szCs w:val="24"/>
          <w:shd w:val="clear" w:color="auto" w:fill="FFFFFF"/>
        </w:rPr>
        <w:t>commodities</w:t>
      </w:r>
      <w:r>
        <w:rPr>
          <w:bCs/>
          <w:color w:val="000000" w:themeColor="text1"/>
          <w:szCs w:val="24"/>
          <w:shd w:val="clear" w:color="auto" w:fill="FFFFFF"/>
        </w:rPr>
        <w:t xml:space="preserve"> agrícolas. Em consonância com o indicado em estudo do IPEA </w:t>
      </w:r>
      <w:r w:rsidRPr="008B1EDC">
        <w:rPr>
          <w:bCs/>
          <w:color w:val="000000" w:themeColor="text1"/>
          <w:szCs w:val="24"/>
          <w:shd w:val="clear" w:color="auto" w:fill="FFFFFF"/>
        </w:rPr>
        <w:t>(2011), as flutuações aqui constatadas foram mais significativas justamente no grupo com</w:t>
      </w:r>
      <w:r>
        <w:rPr>
          <w:bCs/>
          <w:color w:val="000000" w:themeColor="text1"/>
          <w:szCs w:val="24"/>
          <w:shd w:val="clear" w:color="auto" w:fill="FFFFFF"/>
        </w:rPr>
        <w:t xml:space="preserve"> menor exposição ao comércio internacional.</w:t>
      </w:r>
    </w:p>
    <w:p w14:paraId="1557266E" w14:textId="77777777" w:rsidR="001E7476" w:rsidRDefault="001E7476" w:rsidP="001E7476">
      <w:pPr>
        <w:pStyle w:val="NormalWeb"/>
        <w:shd w:val="clear" w:color="auto" w:fill="FFFFFF"/>
        <w:spacing w:before="0" w:after="0"/>
        <w:ind w:firstLine="708"/>
        <w:jc w:val="both"/>
        <w:textAlignment w:val="baseline"/>
        <w:rPr>
          <w:bCs/>
          <w:color w:val="000000" w:themeColor="text1"/>
          <w:szCs w:val="24"/>
          <w:shd w:val="clear" w:color="auto" w:fill="FFFFFF"/>
        </w:rPr>
      </w:pPr>
      <w:r>
        <w:rPr>
          <w:bCs/>
          <w:color w:val="000000" w:themeColor="text1"/>
          <w:szCs w:val="24"/>
          <w:shd w:val="clear" w:color="auto" w:fill="FFFFFF"/>
        </w:rPr>
        <w:lastRenderedPageBreak/>
        <w:t>Ainda na Tabela 3, pode-se verificar que, entre 2020 e 2021, os alimentos das cadeias aqui consideradas foram responsáveis por 86,6% da IAD, um pouco acima do observado entre 2007-2019. A maior média anual da variação de preços, de 19,7%, foi observada nos comercializáveis, quase o dobro do valor anterior à pandemia da covid-19. Os destaques foram as cadeias da cana-de-açúcar, café e soja, cujos produtos ao consumidor variaram, entre 2020 e 2021, bem acima do IPAD.</w:t>
      </w:r>
    </w:p>
    <w:p w14:paraId="4B69F74B" w14:textId="5DCF6571" w:rsidR="001E7476" w:rsidRDefault="001E7476" w:rsidP="001E7476">
      <w:pPr>
        <w:pStyle w:val="NormalWeb"/>
        <w:shd w:val="clear" w:color="auto" w:fill="FFFFFF"/>
        <w:spacing w:before="0" w:after="0"/>
        <w:ind w:firstLine="708"/>
        <w:jc w:val="both"/>
        <w:textAlignment w:val="baseline"/>
        <w:rPr>
          <w:bCs/>
          <w:color w:val="000000" w:themeColor="text1"/>
          <w:szCs w:val="24"/>
          <w:shd w:val="clear" w:color="auto" w:fill="FFFFFF"/>
        </w:rPr>
      </w:pPr>
      <w:r>
        <w:rPr>
          <w:bCs/>
          <w:color w:val="000000" w:themeColor="text1"/>
          <w:szCs w:val="24"/>
          <w:shd w:val="clear" w:color="auto" w:fill="FFFFFF"/>
        </w:rPr>
        <w:t>Também entre os medianamente comercializáveis e não comercializáveis</w:t>
      </w:r>
      <w:r w:rsidR="00814DD5">
        <w:rPr>
          <w:bCs/>
          <w:color w:val="000000" w:themeColor="text1"/>
          <w:szCs w:val="24"/>
          <w:shd w:val="clear" w:color="auto" w:fill="FFFFFF"/>
        </w:rPr>
        <w:t>,</w:t>
      </w:r>
      <w:r>
        <w:rPr>
          <w:bCs/>
          <w:color w:val="000000" w:themeColor="text1"/>
          <w:szCs w:val="24"/>
          <w:shd w:val="clear" w:color="auto" w:fill="FFFFFF"/>
        </w:rPr>
        <w:t xml:space="preserve"> a média anual do IPAD aumentou durante a pandemia, mas não em valores tão expressivos. Uma provável explicação é que as dificuldades de abastecimento na pandemia foram mais importantes no mercado internacional que no mercado brasileiro, além do que podem ter ocorrido movimentos especulativos com os preços das </w:t>
      </w:r>
      <w:r w:rsidRPr="00A50B58">
        <w:rPr>
          <w:bCs/>
          <w:i/>
          <w:color w:val="000000" w:themeColor="text1"/>
          <w:szCs w:val="24"/>
          <w:shd w:val="clear" w:color="auto" w:fill="FFFFFF"/>
        </w:rPr>
        <w:t>commodities</w:t>
      </w:r>
      <w:r>
        <w:rPr>
          <w:bCs/>
          <w:color w:val="000000" w:themeColor="text1"/>
          <w:szCs w:val="24"/>
          <w:shd w:val="clear" w:color="auto" w:fill="FFFFFF"/>
        </w:rPr>
        <w:t xml:space="preserve"> agrícolas.</w:t>
      </w:r>
    </w:p>
    <w:p w14:paraId="07CDD17E" w14:textId="77777777" w:rsidR="00F237BC" w:rsidRPr="007B17E3" w:rsidRDefault="00F237BC" w:rsidP="00F237BC">
      <w:pPr>
        <w:pStyle w:val="NormalWeb"/>
        <w:shd w:val="clear" w:color="auto" w:fill="FFFFFF"/>
        <w:spacing w:before="0" w:after="0"/>
        <w:jc w:val="both"/>
        <w:textAlignment w:val="baseline"/>
        <w:rPr>
          <w:b/>
          <w:bCs/>
          <w:color w:val="000000" w:themeColor="text1"/>
          <w:szCs w:val="24"/>
          <w:shd w:val="clear" w:color="auto" w:fill="FFFFFF"/>
        </w:rPr>
      </w:pPr>
      <w:r w:rsidRPr="00BC5CB1">
        <w:rPr>
          <w:b/>
          <w:bCs/>
          <w:color w:val="000000" w:themeColor="text1"/>
          <w:szCs w:val="24"/>
          <w:shd w:val="clear" w:color="auto" w:fill="FFFFFF"/>
        </w:rPr>
        <w:t xml:space="preserve">4.2. Variação na Disponibilidade Interna </w:t>
      </w:r>
      <w:r w:rsidRPr="00BC5CB1">
        <w:rPr>
          <w:b/>
          <w:bCs/>
          <w:i/>
          <w:color w:val="000000" w:themeColor="text1"/>
          <w:szCs w:val="24"/>
          <w:shd w:val="clear" w:color="auto" w:fill="FFFFFF"/>
        </w:rPr>
        <w:t>per capita</w:t>
      </w:r>
    </w:p>
    <w:p w14:paraId="7DEA7CA0" w14:textId="02F23C2A" w:rsidR="00F237BC" w:rsidRDefault="00F237BC" w:rsidP="00F237BC">
      <w:pPr>
        <w:pStyle w:val="NormalWeb"/>
        <w:shd w:val="clear" w:color="auto" w:fill="FFFFFF"/>
        <w:spacing w:before="0" w:after="0"/>
        <w:ind w:firstLine="708"/>
        <w:jc w:val="both"/>
        <w:textAlignment w:val="baseline"/>
        <w:rPr>
          <w:bCs/>
          <w:color w:val="000000" w:themeColor="text1"/>
          <w:szCs w:val="24"/>
          <w:shd w:val="clear" w:color="auto" w:fill="FFFFFF"/>
        </w:rPr>
      </w:pPr>
      <w:bookmarkStart w:id="5" w:name="_Hlk125018478"/>
      <w:r w:rsidRPr="007B17E3">
        <w:rPr>
          <w:bCs/>
          <w:color w:val="000000" w:themeColor="text1"/>
          <w:szCs w:val="24"/>
          <w:shd w:val="clear" w:color="auto" w:fill="FFFFFF"/>
        </w:rPr>
        <w:t xml:space="preserve">A Tabela </w:t>
      </w:r>
      <w:r>
        <w:rPr>
          <w:bCs/>
          <w:color w:val="000000" w:themeColor="text1"/>
          <w:szCs w:val="24"/>
          <w:shd w:val="clear" w:color="auto" w:fill="FFFFFF"/>
        </w:rPr>
        <w:t>4</w:t>
      </w:r>
      <w:r w:rsidRPr="007B17E3">
        <w:rPr>
          <w:bCs/>
          <w:color w:val="000000" w:themeColor="text1"/>
          <w:szCs w:val="24"/>
          <w:shd w:val="clear" w:color="auto" w:fill="FFFFFF"/>
        </w:rPr>
        <w:t xml:space="preserve"> </w:t>
      </w:r>
      <w:r>
        <w:rPr>
          <w:bCs/>
          <w:color w:val="000000" w:themeColor="text1"/>
          <w:szCs w:val="24"/>
          <w:shd w:val="clear" w:color="auto" w:fill="FFFFFF"/>
        </w:rPr>
        <w:t>revela que</w:t>
      </w:r>
      <w:r w:rsidR="00814DD5">
        <w:rPr>
          <w:bCs/>
          <w:color w:val="000000" w:themeColor="text1"/>
          <w:szCs w:val="24"/>
          <w:shd w:val="clear" w:color="auto" w:fill="FFFFFF"/>
        </w:rPr>
        <w:t>,</w:t>
      </w:r>
      <w:r>
        <w:rPr>
          <w:bCs/>
          <w:color w:val="000000" w:themeColor="text1"/>
          <w:szCs w:val="24"/>
          <w:shd w:val="clear" w:color="auto" w:fill="FFFFFF"/>
        </w:rPr>
        <w:t xml:space="preserve"> nos três grupos de cadeias consideradas</w:t>
      </w:r>
      <w:r w:rsidR="00814DD5">
        <w:rPr>
          <w:bCs/>
          <w:color w:val="000000" w:themeColor="text1"/>
          <w:szCs w:val="24"/>
          <w:shd w:val="clear" w:color="auto" w:fill="FFFFFF"/>
        </w:rPr>
        <w:t>,</w:t>
      </w:r>
      <w:r>
        <w:rPr>
          <w:bCs/>
          <w:color w:val="000000" w:themeColor="text1"/>
          <w:szCs w:val="24"/>
          <w:shd w:val="clear" w:color="auto" w:fill="FFFFFF"/>
        </w:rPr>
        <w:t xml:space="preserve"> a disponibilidade média </w:t>
      </w:r>
      <w:r w:rsidRPr="0068174A">
        <w:rPr>
          <w:bCs/>
          <w:i/>
          <w:iCs/>
          <w:color w:val="000000" w:themeColor="text1"/>
          <w:szCs w:val="24"/>
          <w:shd w:val="clear" w:color="auto" w:fill="FFFFFF"/>
        </w:rPr>
        <w:t>per capita</w:t>
      </w:r>
      <w:r>
        <w:rPr>
          <w:bCs/>
          <w:color w:val="000000" w:themeColor="text1"/>
          <w:szCs w:val="24"/>
          <w:shd w:val="clear" w:color="auto" w:fill="FFFFFF"/>
        </w:rPr>
        <w:t xml:space="preserve"> ficou acima do valor inicial, de 2007. A situação mais favorável se deu justamente nos comercializáveis, com a média de disponibilidade atingindo 109,7. Entre as oito cadeias de exportáveis, em apenas duas se verificou disponibilidade média abaixo de 100, no caso da cana-de-açúcar, bem abaixo, e na bovinocultura de corte, pouco abaixo. Entre as três importáveis, o abastecimento do mercado interno esteve mais comprometido ou pressionado, com duas cadeias apresentando disponibilidade interna média abaixo do valor inicial. Ao contrário dos preços, os coeficientes de variação da disponibilidade foram baixos, de maneira geral, com exceção da cana-de-açúcar e do café, que ultrapassaram 25%.</w:t>
      </w:r>
    </w:p>
    <w:p w14:paraId="27BC0CA0" w14:textId="77777777" w:rsidR="00F237BC" w:rsidRPr="00F237BC" w:rsidRDefault="00F237BC" w:rsidP="00F237BC">
      <w:pPr>
        <w:spacing w:after="0" w:line="240" w:lineRule="auto"/>
        <w:jc w:val="both"/>
        <w:textAlignment w:val="baseline"/>
        <w:rPr>
          <w:rFonts w:ascii="Times New Roman" w:eastAsia="Times New Roman" w:hAnsi="Times New Roman" w:cs="Times New Roman"/>
          <w:bCs/>
          <w:color w:val="000000" w:themeColor="text1"/>
          <w:sz w:val="24"/>
          <w:szCs w:val="24"/>
          <w:shd w:val="clear" w:color="auto" w:fill="FFFFFF"/>
        </w:rPr>
      </w:pPr>
      <w:r w:rsidRPr="00F237BC">
        <w:rPr>
          <w:rFonts w:ascii="Times New Roman" w:eastAsia="Times New Roman" w:hAnsi="Times New Roman" w:cs="Times New Roman"/>
          <w:b/>
          <w:color w:val="000000" w:themeColor="text1"/>
          <w:sz w:val="24"/>
          <w:szCs w:val="24"/>
          <w:shd w:val="clear" w:color="auto" w:fill="FFFFFF"/>
        </w:rPr>
        <w:t>Tabela 4.</w:t>
      </w:r>
      <w:r w:rsidRPr="00F237BC">
        <w:rPr>
          <w:rFonts w:ascii="Times New Roman" w:eastAsia="Times New Roman" w:hAnsi="Times New Roman" w:cs="Times New Roman"/>
          <w:bCs/>
          <w:color w:val="000000" w:themeColor="text1"/>
          <w:sz w:val="24"/>
          <w:szCs w:val="24"/>
          <w:shd w:val="clear" w:color="auto" w:fill="FFFFFF"/>
        </w:rPr>
        <w:t xml:space="preserve"> Estatísticas básicas e regressão linear simples da disponibilidade interna </w:t>
      </w:r>
      <w:r w:rsidRPr="0068174A">
        <w:rPr>
          <w:rFonts w:ascii="Times New Roman" w:eastAsia="Times New Roman" w:hAnsi="Times New Roman" w:cs="Times New Roman"/>
          <w:bCs/>
          <w:i/>
          <w:iCs/>
          <w:color w:val="000000" w:themeColor="text1"/>
          <w:sz w:val="24"/>
          <w:szCs w:val="24"/>
          <w:shd w:val="clear" w:color="auto" w:fill="FFFFFF"/>
        </w:rPr>
        <w:t>per capita</w:t>
      </w:r>
      <w:r w:rsidRPr="00F237BC">
        <w:rPr>
          <w:rFonts w:ascii="Times New Roman" w:eastAsia="Times New Roman" w:hAnsi="Times New Roman" w:cs="Times New Roman"/>
          <w:bCs/>
          <w:color w:val="000000" w:themeColor="text1"/>
          <w:sz w:val="24"/>
          <w:szCs w:val="24"/>
          <w:shd w:val="clear" w:color="auto" w:fill="FFFFFF"/>
        </w:rPr>
        <w:t xml:space="preserve"> das cadeias, expressas como índice 100 (base ano 2007), Brasil, 2007 a 2021.</w:t>
      </w:r>
    </w:p>
    <w:tbl>
      <w:tblPr>
        <w:tblStyle w:val="Tabelacomgrade"/>
        <w:tblW w:w="9214" w:type="dxa"/>
        <w:jc w:val="center"/>
        <w:tblLayout w:type="fixed"/>
        <w:tblLook w:val="04A0" w:firstRow="1" w:lastRow="0" w:firstColumn="1" w:lastColumn="0" w:noHBand="0" w:noVBand="1"/>
      </w:tblPr>
      <w:tblGrid>
        <w:gridCol w:w="2552"/>
        <w:gridCol w:w="1110"/>
        <w:gridCol w:w="1110"/>
        <w:gridCol w:w="1111"/>
        <w:gridCol w:w="1110"/>
        <w:gridCol w:w="1110"/>
        <w:gridCol w:w="1111"/>
      </w:tblGrid>
      <w:tr w:rsidR="00F237BC" w:rsidRPr="00C766C5" w14:paraId="4A2D4478" w14:textId="77777777" w:rsidTr="00F237BC">
        <w:trPr>
          <w:trHeight w:val="273"/>
          <w:jc w:val="center"/>
        </w:trPr>
        <w:tc>
          <w:tcPr>
            <w:tcW w:w="2552" w:type="dxa"/>
            <w:tcBorders>
              <w:top w:val="single" w:sz="4" w:space="0" w:color="auto"/>
              <w:left w:val="nil"/>
              <w:bottom w:val="single" w:sz="4" w:space="0" w:color="auto"/>
              <w:right w:val="nil"/>
            </w:tcBorders>
            <w:vAlign w:val="center"/>
          </w:tcPr>
          <w:p w14:paraId="743D0B65" w14:textId="77777777" w:rsidR="00F237BC" w:rsidRPr="00C766C5" w:rsidRDefault="00F237BC" w:rsidP="00F237BC">
            <w:pPr>
              <w:jc w:val="center"/>
              <w:rPr>
                <w:rFonts w:ascii="Times New Roman" w:hAnsi="Times New Roman"/>
                <w:color w:val="000000" w:themeColor="text1"/>
                <w:sz w:val="24"/>
                <w:szCs w:val="24"/>
              </w:rPr>
            </w:pPr>
            <w:bookmarkStart w:id="6" w:name="_Hlk124862812"/>
            <w:bookmarkEnd w:id="5"/>
            <w:r w:rsidRPr="00C766C5">
              <w:rPr>
                <w:rFonts w:ascii="Times New Roman" w:hAnsi="Times New Roman"/>
                <w:color w:val="000000" w:themeColor="text1"/>
                <w:sz w:val="24"/>
                <w:szCs w:val="24"/>
              </w:rPr>
              <w:t>Cadeia</w:t>
            </w:r>
          </w:p>
        </w:tc>
        <w:tc>
          <w:tcPr>
            <w:tcW w:w="1110" w:type="dxa"/>
            <w:tcBorders>
              <w:top w:val="single" w:sz="4" w:space="0" w:color="auto"/>
              <w:left w:val="nil"/>
              <w:bottom w:val="single" w:sz="4" w:space="0" w:color="auto"/>
              <w:right w:val="nil"/>
            </w:tcBorders>
            <w:vAlign w:val="center"/>
          </w:tcPr>
          <w:p w14:paraId="64EB2783"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Média</w:t>
            </w:r>
          </w:p>
        </w:tc>
        <w:tc>
          <w:tcPr>
            <w:tcW w:w="1110" w:type="dxa"/>
            <w:tcBorders>
              <w:top w:val="single" w:sz="4" w:space="0" w:color="auto"/>
              <w:left w:val="nil"/>
              <w:bottom w:val="single" w:sz="4" w:space="0" w:color="auto"/>
              <w:right w:val="nil"/>
            </w:tcBorders>
            <w:vAlign w:val="center"/>
          </w:tcPr>
          <w:p w14:paraId="2C57B651"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DP</w:t>
            </w:r>
          </w:p>
        </w:tc>
        <w:tc>
          <w:tcPr>
            <w:tcW w:w="1111" w:type="dxa"/>
            <w:tcBorders>
              <w:top w:val="single" w:sz="4" w:space="0" w:color="auto"/>
              <w:left w:val="nil"/>
              <w:bottom w:val="single" w:sz="4" w:space="0" w:color="auto"/>
              <w:right w:val="nil"/>
            </w:tcBorders>
            <w:vAlign w:val="center"/>
          </w:tcPr>
          <w:p w14:paraId="3BFA0037"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CV (%)</w:t>
            </w:r>
          </w:p>
        </w:tc>
        <w:tc>
          <w:tcPr>
            <w:tcW w:w="1110" w:type="dxa"/>
            <w:tcBorders>
              <w:top w:val="single" w:sz="4" w:space="0" w:color="auto"/>
              <w:left w:val="nil"/>
              <w:bottom w:val="single" w:sz="4" w:space="0" w:color="auto"/>
              <w:right w:val="nil"/>
            </w:tcBorders>
            <w:vAlign w:val="center"/>
          </w:tcPr>
          <w:p w14:paraId="00E72011"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CA</w:t>
            </w:r>
          </w:p>
        </w:tc>
        <w:tc>
          <w:tcPr>
            <w:tcW w:w="1110" w:type="dxa"/>
            <w:tcBorders>
              <w:top w:val="single" w:sz="4" w:space="0" w:color="auto"/>
              <w:left w:val="nil"/>
              <w:bottom w:val="single" w:sz="4" w:space="0" w:color="auto"/>
              <w:right w:val="nil"/>
            </w:tcBorders>
            <w:vAlign w:val="center"/>
          </w:tcPr>
          <w:p w14:paraId="3DC5D6BC"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R²</w:t>
            </w:r>
          </w:p>
        </w:tc>
        <w:tc>
          <w:tcPr>
            <w:tcW w:w="1111" w:type="dxa"/>
            <w:tcBorders>
              <w:top w:val="single" w:sz="4" w:space="0" w:color="auto"/>
              <w:left w:val="nil"/>
              <w:bottom w:val="single" w:sz="4" w:space="0" w:color="auto"/>
              <w:right w:val="nil"/>
            </w:tcBorders>
            <w:vAlign w:val="center"/>
          </w:tcPr>
          <w:p w14:paraId="69CBCABB"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p-valor</w:t>
            </w:r>
          </w:p>
        </w:tc>
      </w:tr>
      <w:tr w:rsidR="00F237BC" w:rsidRPr="00C766C5" w14:paraId="65763665" w14:textId="77777777" w:rsidTr="00F237BC">
        <w:trPr>
          <w:trHeight w:val="273"/>
          <w:jc w:val="center"/>
        </w:trPr>
        <w:tc>
          <w:tcPr>
            <w:tcW w:w="2552" w:type="dxa"/>
            <w:tcBorders>
              <w:top w:val="single" w:sz="4" w:space="0" w:color="auto"/>
              <w:left w:val="nil"/>
              <w:bottom w:val="nil"/>
              <w:right w:val="nil"/>
            </w:tcBorders>
            <w:vAlign w:val="center"/>
          </w:tcPr>
          <w:p w14:paraId="45A895F2" w14:textId="77777777" w:rsidR="00F237BC" w:rsidRPr="00C766C5" w:rsidRDefault="00F237BC" w:rsidP="00F237BC">
            <w:pPr>
              <w:rPr>
                <w:rFonts w:ascii="Times New Roman" w:hAnsi="Times New Roman"/>
                <w:color w:val="000000" w:themeColor="text1"/>
                <w:sz w:val="24"/>
                <w:szCs w:val="24"/>
              </w:rPr>
            </w:pPr>
            <w:r w:rsidRPr="00C766C5">
              <w:rPr>
                <w:rFonts w:ascii="Times New Roman" w:hAnsi="Times New Roman"/>
                <w:color w:val="000000" w:themeColor="text1"/>
                <w:sz w:val="24"/>
                <w:szCs w:val="24"/>
              </w:rPr>
              <w:t>Cana-de-açúcar</w:t>
            </w:r>
          </w:p>
        </w:tc>
        <w:tc>
          <w:tcPr>
            <w:tcW w:w="1110" w:type="dxa"/>
            <w:tcBorders>
              <w:top w:val="single" w:sz="4" w:space="0" w:color="auto"/>
              <w:left w:val="nil"/>
              <w:bottom w:val="nil"/>
              <w:right w:val="nil"/>
            </w:tcBorders>
            <w:vAlign w:val="center"/>
          </w:tcPr>
          <w:p w14:paraId="6F8D4365"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86,8</w:t>
            </w:r>
          </w:p>
        </w:tc>
        <w:tc>
          <w:tcPr>
            <w:tcW w:w="1110" w:type="dxa"/>
            <w:tcBorders>
              <w:top w:val="single" w:sz="4" w:space="0" w:color="auto"/>
              <w:left w:val="nil"/>
              <w:bottom w:val="nil"/>
              <w:right w:val="nil"/>
            </w:tcBorders>
            <w:vAlign w:val="center"/>
          </w:tcPr>
          <w:p w14:paraId="195F7BC5"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37,4</w:t>
            </w:r>
          </w:p>
        </w:tc>
        <w:tc>
          <w:tcPr>
            <w:tcW w:w="1111" w:type="dxa"/>
            <w:tcBorders>
              <w:top w:val="single" w:sz="4" w:space="0" w:color="auto"/>
              <w:left w:val="nil"/>
              <w:bottom w:val="nil"/>
              <w:right w:val="nil"/>
            </w:tcBorders>
            <w:vAlign w:val="center"/>
          </w:tcPr>
          <w:p w14:paraId="7F1BF4A0"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43,2</w:t>
            </w:r>
          </w:p>
        </w:tc>
        <w:tc>
          <w:tcPr>
            <w:tcW w:w="1110" w:type="dxa"/>
            <w:tcBorders>
              <w:top w:val="single" w:sz="4" w:space="0" w:color="auto"/>
              <w:left w:val="nil"/>
              <w:bottom w:val="nil"/>
              <w:right w:val="nil"/>
            </w:tcBorders>
            <w:vAlign w:val="center"/>
          </w:tcPr>
          <w:p w14:paraId="6E84A9F0"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-1,33</w:t>
            </w:r>
          </w:p>
        </w:tc>
        <w:tc>
          <w:tcPr>
            <w:tcW w:w="1110" w:type="dxa"/>
            <w:tcBorders>
              <w:top w:val="single" w:sz="4" w:space="0" w:color="auto"/>
              <w:left w:val="nil"/>
              <w:bottom w:val="nil"/>
              <w:right w:val="nil"/>
            </w:tcBorders>
            <w:vAlign w:val="center"/>
          </w:tcPr>
          <w:p w14:paraId="72785A4A"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0,03</w:t>
            </w:r>
          </w:p>
        </w:tc>
        <w:tc>
          <w:tcPr>
            <w:tcW w:w="1111" w:type="dxa"/>
            <w:tcBorders>
              <w:top w:val="single" w:sz="4" w:space="0" w:color="auto"/>
              <w:left w:val="nil"/>
              <w:bottom w:val="nil"/>
              <w:right w:val="nil"/>
            </w:tcBorders>
            <w:vAlign w:val="center"/>
          </w:tcPr>
          <w:p w14:paraId="0E2CBDB3"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0,57</w:t>
            </w:r>
          </w:p>
        </w:tc>
      </w:tr>
      <w:tr w:rsidR="00F237BC" w:rsidRPr="00C766C5" w14:paraId="4C91583C" w14:textId="77777777" w:rsidTr="00F237BC">
        <w:trPr>
          <w:trHeight w:val="273"/>
          <w:jc w:val="center"/>
        </w:trPr>
        <w:tc>
          <w:tcPr>
            <w:tcW w:w="2552" w:type="dxa"/>
            <w:tcBorders>
              <w:top w:val="nil"/>
              <w:left w:val="nil"/>
              <w:bottom w:val="nil"/>
              <w:right w:val="nil"/>
            </w:tcBorders>
            <w:vAlign w:val="center"/>
          </w:tcPr>
          <w:p w14:paraId="0311ADA4" w14:textId="77777777" w:rsidR="00F237BC" w:rsidRPr="00C766C5" w:rsidRDefault="00F237BC" w:rsidP="00F237BC">
            <w:pPr>
              <w:rPr>
                <w:rFonts w:ascii="Times New Roman" w:hAnsi="Times New Roman"/>
                <w:color w:val="000000" w:themeColor="text1"/>
                <w:sz w:val="24"/>
                <w:szCs w:val="24"/>
              </w:rPr>
            </w:pPr>
            <w:r w:rsidRPr="00C766C5">
              <w:rPr>
                <w:rFonts w:ascii="Times New Roman" w:hAnsi="Times New Roman"/>
                <w:color w:val="000000" w:themeColor="text1"/>
                <w:sz w:val="24"/>
                <w:szCs w:val="24"/>
              </w:rPr>
              <w:t>Café</w:t>
            </w:r>
          </w:p>
        </w:tc>
        <w:tc>
          <w:tcPr>
            <w:tcW w:w="1110" w:type="dxa"/>
            <w:tcBorders>
              <w:top w:val="nil"/>
              <w:left w:val="nil"/>
              <w:bottom w:val="nil"/>
              <w:right w:val="nil"/>
            </w:tcBorders>
            <w:vAlign w:val="center"/>
          </w:tcPr>
          <w:p w14:paraId="583F2419"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127,6</w:t>
            </w:r>
          </w:p>
        </w:tc>
        <w:tc>
          <w:tcPr>
            <w:tcW w:w="1110" w:type="dxa"/>
            <w:tcBorders>
              <w:top w:val="nil"/>
              <w:left w:val="nil"/>
              <w:bottom w:val="nil"/>
              <w:right w:val="nil"/>
            </w:tcBorders>
            <w:vAlign w:val="center"/>
          </w:tcPr>
          <w:p w14:paraId="0958C3C8"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38,4</w:t>
            </w:r>
          </w:p>
        </w:tc>
        <w:tc>
          <w:tcPr>
            <w:tcW w:w="1111" w:type="dxa"/>
            <w:tcBorders>
              <w:top w:val="nil"/>
              <w:left w:val="nil"/>
              <w:bottom w:val="nil"/>
              <w:right w:val="nil"/>
            </w:tcBorders>
            <w:vAlign w:val="center"/>
          </w:tcPr>
          <w:p w14:paraId="2D5B7AF7"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30,1</w:t>
            </w:r>
          </w:p>
        </w:tc>
        <w:tc>
          <w:tcPr>
            <w:tcW w:w="1110" w:type="dxa"/>
            <w:tcBorders>
              <w:top w:val="nil"/>
              <w:left w:val="nil"/>
              <w:bottom w:val="nil"/>
              <w:right w:val="nil"/>
            </w:tcBorders>
            <w:vAlign w:val="center"/>
          </w:tcPr>
          <w:p w14:paraId="29892F1F"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-0,50</w:t>
            </w:r>
          </w:p>
        </w:tc>
        <w:tc>
          <w:tcPr>
            <w:tcW w:w="1110" w:type="dxa"/>
            <w:tcBorders>
              <w:top w:val="nil"/>
              <w:left w:val="nil"/>
              <w:bottom w:val="nil"/>
              <w:right w:val="nil"/>
            </w:tcBorders>
            <w:vAlign w:val="center"/>
          </w:tcPr>
          <w:p w14:paraId="0EE1867D"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0,00</w:t>
            </w:r>
          </w:p>
        </w:tc>
        <w:tc>
          <w:tcPr>
            <w:tcW w:w="1111" w:type="dxa"/>
            <w:tcBorders>
              <w:top w:val="nil"/>
              <w:left w:val="nil"/>
              <w:bottom w:val="nil"/>
              <w:right w:val="nil"/>
            </w:tcBorders>
            <w:vAlign w:val="center"/>
          </w:tcPr>
          <w:p w14:paraId="7CF13529"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0,84</w:t>
            </w:r>
          </w:p>
        </w:tc>
      </w:tr>
      <w:tr w:rsidR="00F237BC" w:rsidRPr="00C766C5" w14:paraId="551BE135" w14:textId="77777777" w:rsidTr="00F237BC">
        <w:trPr>
          <w:trHeight w:val="273"/>
          <w:jc w:val="center"/>
        </w:trPr>
        <w:tc>
          <w:tcPr>
            <w:tcW w:w="2552" w:type="dxa"/>
            <w:tcBorders>
              <w:top w:val="nil"/>
              <w:left w:val="nil"/>
              <w:bottom w:val="nil"/>
              <w:right w:val="nil"/>
            </w:tcBorders>
            <w:vAlign w:val="center"/>
          </w:tcPr>
          <w:p w14:paraId="7EF2D6D3" w14:textId="77777777" w:rsidR="00F237BC" w:rsidRPr="00C766C5" w:rsidRDefault="00F237BC" w:rsidP="00F237BC">
            <w:pPr>
              <w:rPr>
                <w:rFonts w:ascii="Times New Roman" w:hAnsi="Times New Roman"/>
                <w:color w:val="000000" w:themeColor="text1"/>
                <w:sz w:val="24"/>
                <w:szCs w:val="24"/>
              </w:rPr>
            </w:pPr>
            <w:r w:rsidRPr="00C766C5">
              <w:rPr>
                <w:rFonts w:ascii="Times New Roman" w:hAnsi="Times New Roman"/>
                <w:color w:val="000000" w:themeColor="text1"/>
                <w:sz w:val="24"/>
                <w:szCs w:val="24"/>
              </w:rPr>
              <w:t>Soja</w:t>
            </w:r>
          </w:p>
        </w:tc>
        <w:tc>
          <w:tcPr>
            <w:tcW w:w="1110" w:type="dxa"/>
            <w:tcBorders>
              <w:top w:val="nil"/>
              <w:left w:val="nil"/>
              <w:bottom w:val="nil"/>
              <w:right w:val="nil"/>
            </w:tcBorders>
            <w:vAlign w:val="center"/>
          </w:tcPr>
          <w:p w14:paraId="45286579"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105,8</w:t>
            </w:r>
          </w:p>
        </w:tc>
        <w:tc>
          <w:tcPr>
            <w:tcW w:w="1110" w:type="dxa"/>
            <w:tcBorders>
              <w:top w:val="nil"/>
              <w:left w:val="nil"/>
              <w:bottom w:val="nil"/>
              <w:right w:val="nil"/>
            </w:tcBorders>
            <w:vAlign w:val="center"/>
          </w:tcPr>
          <w:p w14:paraId="39C9A082"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12,4</w:t>
            </w:r>
          </w:p>
        </w:tc>
        <w:tc>
          <w:tcPr>
            <w:tcW w:w="1111" w:type="dxa"/>
            <w:tcBorders>
              <w:top w:val="nil"/>
              <w:left w:val="nil"/>
              <w:bottom w:val="nil"/>
              <w:right w:val="nil"/>
            </w:tcBorders>
            <w:vAlign w:val="center"/>
          </w:tcPr>
          <w:p w14:paraId="071F74FF"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11,7</w:t>
            </w:r>
          </w:p>
        </w:tc>
        <w:tc>
          <w:tcPr>
            <w:tcW w:w="1110" w:type="dxa"/>
            <w:tcBorders>
              <w:top w:val="nil"/>
              <w:left w:val="nil"/>
              <w:bottom w:val="nil"/>
              <w:right w:val="nil"/>
            </w:tcBorders>
            <w:vAlign w:val="center"/>
          </w:tcPr>
          <w:p w14:paraId="5CD7FEFA"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0,97</w:t>
            </w:r>
          </w:p>
        </w:tc>
        <w:tc>
          <w:tcPr>
            <w:tcW w:w="1110" w:type="dxa"/>
            <w:tcBorders>
              <w:top w:val="nil"/>
              <w:left w:val="nil"/>
              <w:bottom w:val="nil"/>
              <w:right w:val="nil"/>
            </w:tcBorders>
            <w:vAlign w:val="center"/>
          </w:tcPr>
          <w:p w14:paraId="655D9A54"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0,12</w:t>
            </w:r>
          </w:p>
        </w:tc>
        <w:tc>
          <w:tcPr>
            <w:tcW w:w="1111" w:type="dxa"/>
            <w:tcBorders>
              <w:top w:val="nil"/>
              <w:left w:val="nil"/>
              <w:bottom w:val="nil"/>
              <w:right w:val="nil"/>
            </w:tcBorders>
            <w:vAlign w:val="center"/>
          </w:tcPr>
          <w:p w14:paraId="52F67CBB"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0,20</w:t>
            </w:r>
          </w:p>
        </w:tc>
      </w:tr>
      <w:tr w:rsidR="00F237BC" w:rsidRPr="00C766C5" w14:paraId="0A348A75" w14:textId="77777777" w:rsidTr="00F237BC">
        <w:trPr>
          <w:trHeight w:val="273"/>
          <w:jc w:val="center"/>
        </w:trPr>
        <w:tc>
          <w:tcPr>
            <w:tcW w:w="2552" w:type="dxa"/>
            <w:tcBorders>
              <w:top w:val="nil"/>
              <w:left w:val="nil"/>
              <w:bottom w:val="nil"/>
              <w:right w:val="nil"/>
            </w:tcBorders>
            <w:vAlign w:val="center"/>
          </w:tcPr>
          <w:p w14:paraId="299B8ED7" w14:textId="77777777" w:rsidR="00F237BC" w:rsidRPr="00C766C5" w:rsidRDefault="00F237BC" w:rsidP="00F237BC">
            <w:pPr>
              <w:rPr>
                <w:rFonts w:ascii="Times New Roman" w:hAnsi="Times New Roman"/>
                <w:color w:val="000000" w:themeColor="text1"/>
                <w:sz w:val="24"/>
                <w:szCs w:val="24"/>
              </w:rPr>
            </w:pPr>
            <w:r w:rsidRPr="00C766C5">
              <w:rPr>
                <w:rFonts w:ascii="Times New Roman" w:hAnsi="Times New Roman"/>
                <w:color w:val="000000" w:themeColor="text1"/>
                <w:sz w:val="24"/>
                <w:szCs w:val="24"/>
              </w:rPr>
              <w:t>Citros</w:t>
            </w:r>
          </w:p>
        </w:tc>
        <w:tc>
          <w:tcPr>
            <w:tcW w:w="1110" w:type="dxa"/>
            <w:tcBorders>
              <w:top w:val="nil"/>
              <w:left w:val="nil"/>
              <w:bottom w:val="nil"/>
              <w:right w:val="nil"/>
            </w:tcBorders>
            <w:vAlign w:val="center"/>
          </w:tcPr>
          <w:p w14:paraId="4FC386C0"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105,5</w:t>
            </w:r>
          </w:p>
        </w:tc>
        <w:tc>
          <w:tcPr>
            <w:tcW w:w="1110" w:type="dxa"/>
            <w:tcBorders>
              <w:top w:val="nil"/>
              <w:left w:val="nil"/>
              <w:bottom w:val="nil"/>
              <w:right w:val="nil"/>
            </w:tcBorders>
            <w:vAlign w:val="center"/>
          </w:tcPr>
          <w:p w14:paraId="1B1559E1"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19,6</w:t>
            </w:r>
          </w:p>
        </w:tc>
        <w:tc>
          <w:tcPr>
            <w:tcW w:w="1111" w:type="dxa"/>
            <w:tcBorders>
              <w:top w:val="nil"/>
              <w:left w:val="nil"/>
              <w:bottom w:val="nil"/>
              <w:right w:val="nil"/>
            </w:tcBorders>
            <w:vAlign w:val="center"/>
          </w:tcPr>
          <w:p w14:paraId="1D25D652"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18,6</w:t>
            </w:r>
          </w:p>
        </w:tc>
        <w:tc>
          <w:tcPr>
            <w:tcW w:w="1110" w:type="dxa"/>
            <w:tcBorders>
              <w:top w:val="nil"/>
              <w:left w:val="nil"/>
              <w:bottom w:val="nil"/>
              <w:right w:val="nil"/>
            </w:tcBorders>
            <w:vAlign w:val="center"/>
          </w:tcPr>
          <w:p w14:paraId="4F9BC980"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-1,67</w:t>
            </w:r>
          </w:p>
        </w:tc>
        <w:tc>
          <w:tcPr>
            <w:tcW w:w="1110" w:type="dxa"/>
            <w:tcBorders>
              <w:top w:val="nil"/>
              <w:left w:val="nil"/>
              <w:bottom w:val="nil"/>
              <w:right w:val="nil"/>
            </w:tcBorders>
            <w:vAlign w:val="center"/>
          </w:tcPr>
          <w:p w14:paraId="268E18CE"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0,15</w:t>
            </w:r>
          </w:p>
        </w:tc>
        <w:tc>
          <w:tcPr>
            <w:tcW w:w="1111" w:type="dxa"/>
            <w:tcBorders>
              <w:top w:val="nil"/>
              <w:left w:val="nil"/>
              <w:bottom w:val="nil"/>
              <w:right w:val="nil"/>
            </w:tcBorders>
            <w:vAlign w:val="center"/>
          </w:tcPr>
          <w:p w14:paraId="345A607E"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0,16</w:t>
            </w:r>
          </w:p>
        </w:tc>
      </w:tr>
      <w:tr w:rsidR="00F237BC" w:rsidRPr="00C766C5" w14:paraId="0DE88A77" w14:textId="77777777" w:rsidTr="00F237BC">
        <w:trPr>
          <w:trHeight w:val="273"/>
          <w:jc w:val="center"/>
        </w:trPr>
        <w:tc>
          <w:tcPr>
            <w:tcW w:w="2552" w:type="dxa"/>
            <w:tcBorders>
              <w:top w:val="nil"/>
              <w:left w:val="nil"/>
              <w:bottom w:val="nil"/>
              <w:right w:val="nil"/>
            </w:tcBorders>
            <w:vAlign w:val="center"/>
          </w:tcPr>
          <w:p w14:paraId="1CB06553" w14:textId="77777777" w:rsidR="00F237BC" w:rsidRPr="00C766C5" w:rsidRDefault="00F237BC" w:rsidP="00F237BC">
            <w:pPr>
              <w:rPr>
                <w:rFonts w:ascii="Times New Roman" w:hAnsi="Times New Roman"/>
                <w:color w:val="000000" w:themeColor="text1"/>
                <w:sz w:val="24"/>
                <w:szCs w:val="24"/>
              </w:rPr>
            </w:pPr>
            <w:r w:rsidRPr="00C766C5">
              <w:rPr>
                <w:rFonts w:ascii="Times New Roman" w:hAnsi="Times New Roman"/>
                <w:color w:val="000000" w:themeColor="text1"/>
                <w:sz w:val="24"/>
                <w:szCs w:val="24"/>
              </w:rPr>
              <w:t>Avicultura de Corte</w:t>
            </w:r>
          </w:p>
        </w:tc>
        <w:tc>
          <w:tcPr>
            <w:tcW w:w="1110" w:type="dxa"/>
            <w:tcBorders>
              <w:top w:val="nil"/>
              <w:left w:val="nil"/>
              <w:bottom w:val="nil"/>
              <w:right w:val="nil"/>
            </w:tcBorders>
            <w:vAlign w:val="center"/>
          </w:tcPr>
          <w:p w14:paraId="362BEB2F"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129,6</w:t>
            </w:r>
          </w:p>
        </w:tc>
        <w:tc>
          <w:tcPr>
            <w:tcW w:w="1110" w:type="dxa"/>
            <w:tcBorders>
              <w:top w:val="nil"/>
              <w:left w:val="nil"/>
              <w:bottom w:val="nil"/>
              <w:right w:val="nil"/>
            </w:tcBorders>
            <w:vAlign w:val="center"/>
          </w:tcPr>
          <w:p w14:paraId="4DEA2F3C"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14,5</w:t>
            </w:r>
          </w:p>
        </w:tc>
        <w:tc>
          <w:tcPr>
            <w:tcW w:w="1111" w:type="dxa"/>
            <w:tcBorders>
              <w:top w:val="nil"/>
              <w:left w:val="nil"/>
              <w:bottom w:val="nil"/>
              <w:right w:val="nil"/>
            </w:tcBorders>
            <w:vAlign w:val="center"/>
          </w:tcPr>
          <w:p w14:paraId="2C22DD60"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11,2</w:t>
            </w:r>
          </w:p>
        </w:tc>
        <w:tc>
          <w:tcPr>
            <w:tcW w:w="1110" w:type="dxa"/>
            <w:tcBorders>
              <w:top w:val="nil"/>
              <w:left w:val="nil"/>
              <w:bottom w:val="nil"/>
              <w:right w:val="nil"/>
            </w:tcBorders>
            <w:vAlign w:val="center"/>
          </w:tcPr>
          <w:p w14:paraId="509377C7"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3,05</w:t>
            </w:r>
          </w:p>
        </w:tc>
        <w:tc>
          <w:tcPr>
            <w:tcW w:w="1110" w:type="dxa"/>
            <w:tcBorders>
              <w:top w:val="nil"/>
              <w:left w:val="nil"/>
              <w:bottom w:val="nil"/>
              <w:right w:val="nil"/>
            </w:tcBorders>
            <w:vAlign w:val="center"/>
          </w:tcPr>
          <w:p w14:paraId="4466E735"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0,88</w:t>
            </w:r>
          </w:p>
        </w:tc>
        <w:tc>
          <w:tcPr>
            <w:tcW w:w="1111" w:type="dxa"/>
            <w:tcBorders>
              <w:top w:val="nil"/>
              <w:left w:val="nil"/>
              <w:bottom w:val="nil"/>
              <w:right w:val="nil"/>
            </w:tcBorders>
            <w:vAlign w:val="center"/>
          </w:tcPr>
          <w:p w14:paraId="3AC0B4E5"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0,00***</w:t>
            </w:r>
          </w:p>
        </w:tc>
      </w:tr>
      <w:tr w:rsidR="00F237BC" w:rsidRPr="00C766C5" w14:paraId="49A0B6CA" w14:textId="77777777" w:rsidTr="00F237BC">
        <w:trPr>
          <w:trHeight w:val="273"/>
          <w:jc w:val="center"/>
        </w:trPr>
        <w:tc>
          <w:tcPr>
            <w:tcW w:w="2552" w:type="dxa"/>
            <w:tcBorders>
              <w:top w:val="nil"/>
              <w:left w:val="nil"/>
              <w:bottom w:val="nil"/>
              <w:right w:val="nil"/>
            </w:tcBorders>
            <w:vAlign w:val="center"/>
          </w:tcPr>
          <w:p w14:paraId="2D149F78" w14:textId="77777777" w:rsidR="00F237BC" w:rsidRPr="00C766C5" w:rsidRDefault="00F237BC" w:rsidP="00F237BC">
            <w:pPr>
              <w:rPr>
                <w:rFonts w:ascii="Times New Roman" w:hAnsi="Times New Roman"/>
                <w:color w:val="000000" w:themeColor="text1"/>
                <w:sz w:val="24"/>
                <w:szCs w:val="24"/>
              </w:rPr>
            </w:pPr>
            <w:r w:rsidRPr="00C766C5">
              <w:rPr>
                <w:rFonts w:ascii="Times New Roman" w:hAnsi="Times New Roman"/>
                <w:color w:val="000000" w:themeColor="text1"/>
                <w:sz w:val="24"/>
                <w:szCs w:val="24"/>
              </w:rPr>
              <w:t>Milho</w:t>
            </w:r>
          </w:p>
        </w:tc>
        <w:tc>
          <w:tcPr>
            <w:tcW w:w="1110" w:type="dxa"/>
            <w:tcBorders>
              <w:top w:val="nil"/>
              <w:left w:val="nil"/>
              <w:bottom w:val="nil"/>
              <w:right w:val="nil"/>
            </w:tcBorders>
            <w:vAlign w:val="center"/>
          </w:tcPr>
          <w:p w14:paraId="0B3686D4"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119,9</w:t>
            </w:r>
          </w:p>
        </w:tc>
        <w:tc>
          <w:tcPr>
            <w:tcW w:w="1110" w:type="dxa"/>
            <w:tcBorders>
              <w:top w:val="nil"/>
              <w:left w:val="nil"/>
              <w:bottom w:val="nil"/>
              <w:right w:val="nil"/>
            </w:tcBorders>
            <w:vAlign w:val="center"/>
          </w:tcPr>
          <w:p w14:paraId="45DF2A63"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17,0</w:t>
            </w:r>
          </w:p>
        </w:tc>
        <w:tc>
          <w:tcPr>
            <w:tcW w:w="1111" w:type="dxa"/>
            <w:tcBorders>
              <w:top w:val="nil"/>
              <w:left w:val="nil"/>
              <w:bottom w:val="nil"/>
              <w:right w:val="nil"/>
            </w:tcBorders>
            <w:vAlign w:val="center"/>
          </w:tcPr>
          <w:p w14:paraId="1D69FAB9"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14,2</w:t>
            </w:r>
          </w:p>
        </w:tc>
        <w:tc>
          <w:tcPr>
            <w:tcW w:w="1110" w:type="dxa"/>
            <w:tcBorders>
              <w:top w:val="nil"/>
              <w:left w:val="nil"/>
              <w:bottom w:val="nil"/>
              <w:right w:val="nil"/>
            </w:tcBorders>
            <w:vAlign w:val="center"/>
          </w:tcPr>
          <w:p w14:paraId="05C44E1F"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2,68</w:t>
            </w:r>
          </w:p>
        </w:tc>
        <w:tc>
          <w:tcPr>
            <w:tcW w:w="1110" w:type="dxa"/>
            <w:tcBorders>
              <w:top w:val="nil"/>
              <w:left w:val="nil"/>
              <w:bottom w:val="nil"/>
              <w:right w:val="nil"/>
            </w:tcBorders>
            <w:vAlign w:val="center"/>
          </w:tcPr>
          <w:p w14:paraId="56F5B69B"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0,50</w:t>
            </w:r>
          </w:p>
        </w:tc>
        <w:tc>
          <w:tcPr>
            <w:tcW w:w="1111" w:type="dxa"/>
            <w:tcBorders>
              <w:top w:val="nil"/>
              <w:left w:val="nil"/>
              <w:bottom w:val="nil"/>
              <w:right w:val="nil"/>
            </w:tcBorders>
            <w:vAlign w:val="center"/>
          </w:tcPr>
          <w:p w14:paraId="2B6B2CC1"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0,00***</w:t>
            </w:r>
          </w:p>
        </w:tc>
      </w:tr>
      <w:tr w:rsidR="00F237BC" w:rsidRPr="00C766C5" w14:paraId="2B8CDF01" w14:textId="77777777" w:rsidTr="00F237BC">
        <w:trPr>
          <w:trHeight w:val="273"/>
          <w:jc w:val="center"/>
        </w:trPr>
        <w:tc>
          <w:tcPr>
            <w:tcW w:w="2552" w:type="dxa"/>
            <w:tcBorders>
              <w:top w:val="nil"/>
              <w:left w:val="nil"/>
              <w:bottom w:val="nil"/>
              <w:right w:val="nil"/>
            </w:tcBorders>
            <w:vAlign w:val="center"/>
          </w:tcPr>
          <w:p w14:paraId="35913295" w14:textId="77777777" w:rsidR="00F237BC" w:rsidRPr="00C766C5" w:rsidRDefault="00F237BC" w:rsidP="00F237BC">
            <w:pPr>
              <w:rPr>
                <w:rFonts w:ascii="Times New Roman" w:hAnsi="Times New Roman"/>
                <w:color w:val="000000" w:themeColor="text1"/>
                <w:sz w:val="24"/>
                <w:szCs w:val="24"/>
              </w:rPr>
            </w:pPr>
            <w:r w:rsidRPr="00C766C5">
              <w:rPr>
                <w:rFonts w:ascii="Times New Roman" w:hAnsi="Times New Roman"/>
                <w:color w:val="000000" w:themeColor="text1"/>
                <w:sz w:val="24"/>
                <w:szCs w:val="24"/>
              </w:rPr>
              <w:t>Suinocultura</w:t>
            </w:r>
          </w:p>
        </w:tc>
        <w:tc>
          <w:tcPr>
            <w:tcW w:w="1110" w:type="dxa"/>
            <w:tcBorders>
              <w:top w:val="nil"/>
              <w:left w:val="nil"/>
              <w:bottom w:val="nil"/>
              <w:right w:val="nil"/>
            </w:tcBorders>
            <w:vAlign w:val="center"/>
          </w:tcPr>
          <w:p w14:paraId="1E4E57BF"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138,1</w:t>
            </w:r>
          </w:p>
        </w:tc>
        <w:tc>
          <w:tcPr>
            <w:tcW w:w="1110" w:type="dxa"/>
            <w:tcBorders>
              <w:top w:val="nil"/>
              <w:left w:val="nil"/>
              <w:bottom w:val="nil"/>
              <w:right w:val="nil"/>
            </w:tcBorders>
            <w:vAlign w:val="center"/>
          </w:tcPr>
          <w:p w14:paraId="3E88F727"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20,1</w:t>
            </w:r>
          </w:p>
        </w:tc>
        <w:tc>
          <w:tcPr>
            <w:tcW w:w="1111" w:type="dxa"/>
            <w:tcBorders>
              <w:top w:val="nil"/>
              <w:left w:val="nil"/>
              <w:bottom w:val="nil"/>
              <w:right w:val="nil"/>
            </w:tcBorders>
            <w:vAlign w:val="center"/>
          </w:tcPr>
          <w:p w14:paraId="277E78EC"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14,5</w:t>
            </w:r>
          </w:p>
        </w:tc>
        <w:tc>
          <w:tcPr>
            <w:tcW w:w="1110" w:type="dxa"/>
            <w:tcBorders>
              <w:top w:val="nil"/>
              <w:left w:val="nil"/>
              <w:bottom w:val="nil"/>
              <w:right w:val="nil"/>
            </w:tcBorders>
            <w:vAlign w:val="center"/>
          </w:tcPr>
          <w:p w14:paraId="39F1C2D6"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4,17</w:t>
            </w:r>
          </w:p>
        </w:tc>
        <w:tc>
          <w:tcPr>
            <w:tcW w:w="1110" w:type="dxa"/>
            <w:tcBorders>
              <w:top w:val="nil"/>
              <w:left w:val="nil"/>
              <w:bottom w:val="nil"/>
              <w:right w:val="nil"/>
            </w:tcBorders>
            <w:vAlign w:val="center"/>
          </w:tcPr>
          <w:p w14:paraId="0ACC6210"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0,86</w:t>
            </w:r>
          </w:p>
        </w:tc>
        <w:tc>
          <w:tcPr>
            <w:tcW w:w="1111" w:type="dxa"/>
            <w:tcBorders>
              <w:top w:val="nil"/>
              <w:left w:val="nil"/>
              <w:bottom w:val="nil"/>
              <w:right w:val="nil"/>
            </w:tcBorders>
            <w:vAlign w:val="center"/>
          </w:tcPr>
          <w:p w14:paraId="5DDABCE1"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0,00***</w:t>
            </w:r>
          </w:p>
        </w:tc>
      </w:tr>
      <w:tr w:rsidR="00F237BC" w:rsidRPr="00C766C5" w14:paraId="7690E407" w14:textId="77777777" w:rsidTr="00F237BC">
        <w:trPr>
          <w:trHeight w:val="273"/>
          <w:jc w:val="center"/>
        </w:trPr>
        <w:tc>
          <w:tcPr>
            <w:tcW w:w="2552" w:type="dxa"/>
            <w:tcBorders>
              <w:top w:val="nil"/>
              <w:left w:val="nil"/>
              <w:bottom w:val="nil"/>
              <w:right w:val="nil"/>
            </w:tcBorders>
            <w:vAlign w:val="center"/>
          </w:tcPr>
          <w:p w14:paraId="5653E5FB" w14:textId="77777777" w:rsidR="00F237BC" w:rsidRPr="00C766C5" w:rsidRDefault="00F237BC" w:rsidP="00F237BC">
            <w:pPr>
              <w:rPr>
                <w:rFonts w:ascii="Times New Roman" w:hAnsi="Times New Roman"/>
                <w:color w:val="000000" w:themeColor="text1"/>
                <w:sz w:val="24"/>
                <w:szCs w:val="24"/>
              </w:rPr>
            </w:pPr>
            <w:r w:rsidRPr="00C766C5">
              <w:rPr>
                <w:rFonts w:ascii="Times New Roman" w:hAnsi="Times New Roman"/>
                <w:color w:val="000000" w:themeColor="text1"/>
                <w:sz w:val="24"/>
                <w:szCs w:val="24"/>
              </w:rPr>
              <w:t>Bovinocultura de Corte</w:t>
            </w:r>
          </w:p>
        </w:tc>
        <w:tc>
          <w:tcPr>
            <w:tcW w:w="1110" w:type="dxa"/>
            <w:tcBorders>
              <w:top w:val="nil"/>
              <w:left w:val="nil"/>
              <w:bottom w:val="nil"/>
              <w:right w:val="nil"/>
            </w:tcBorders>
            <w:vAlign w:val="center"/>
          </w:tcPr>
          <w:p w14:paraId="6BAAA5FF"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98,9</w:t>
            </w:r>
          </w:p>
        </w:tc>
        <w:tc>
          <w:tcPr>
            <w:tcW w:w="1110" w:type="dxa"/>
            <w:tcBorders>
              <w:top w:val="nil"/>
              <w:left w:val="nil"/>
              <w:bottom w:val="nil"/>
              <w:right w:val="nil"/>
            </w:tcBorders>
            <w:vAlign w:val="center"/>
          </w:tcPr>
          <w:p w14:paraId="0CAF2359"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5,7</w:t>
            </w:r>
          </w:p>
        </w:tc>
        <w:tc>
          <w:tcPr>
            <w:tcW w:w="1111" w:type="dxa"/>
            <w:tcBorders>
              <w:top w:val="nil"/>
              <w:left w:val="nil"/>
              <w:bottom w:val="nil"/>
              <w:right w:val="nil"/>
            </w:tcBorders>
            <w:vAlign w:val="center"/>
          </w:tcPr>
          <w:p w14:paraId="35EBBC9D"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5,8</w:t>
            </w:r>
          </w:p>
        </w:tc>
        <w:tc>
          <w:tcPr>
            <w:tcW w:w="1110" w:type="dxa"/>
            <w:tcBorders>
              <w:top w:val="nil"/>
              <w:left w:val="nil"/>
              <w:bottom w:val="nil"/>
              <w:right w:val="nil"/>
            </w:tcBorders>
            <w:vAlign w:val="center"/>
          </w:tcPr>
          <w:p w14:paraId="2FAF9E1D"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-0,34</w:t>
            </w:r>
          </w:p>
        </w:tc>
        <w:tc>
          <w:tcPr>
            <w:tcW w:w="1110" w:type="dxa"/>
            <w:tcBorders>
              <w:top w:val="nil"/>
              <w:left w:val="nil"/>
              <w:bottom w:val="nil"/>
              <w:right w:val="nil"/>
            </w:tcBorders>
            <w:vAlign w:val="center"/>
          </w:tcPr>
          <w:p w14:paraId="7F519885"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0,07</w:t>
            </w:r>
          </w:p>
        </w:tc>
        <w:tc>
          <w:tcPr>
            <w:tcW w:w="1111" w:type="dxa"/>
            <w:tcBorders>
              <w:top w:val="nil"/>
              <w:left w:val="nil"/>
              <w:bottom w:val="nil"/>
              <w:right w:val="nil"/>
            </w:tcBorders>
            <w:vAlign w:val="center"/>
          </w:tcPr>
          <w:p w14:paraId="78552C49"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0,34</w:t>
            </w:r>
          </w:p>
        </w:tc>
      </w:tr>
      <w:tr w:rsidR="00F237BC" w:rsidRPr="00C766C5" w14:paraId="36490974" w14:textId="77777777" w:rsidTr="00F237BC">
        <w:trPr>
          <w:trHeight w:val="273"/>
          <w:jc w:val="center"/>
        </w:trPr>
        <w:tc>
          <w:tcPr>
            <w:tcW w:w="2552" w:type="dxa"/>
            <w:tcBorders>
              <w:top w:val="nil"/>
              <w:left w:val="nil"/>
              <w:bottom w:val="nil"/>
              <w:right w:val="nil"/>
            </w:tcBorders>
            <w:shd w:val="clear" w:color="auto" w:fill="auto"/>
            <w:vAlign w:val="center"/>
          </w:tcPr>
          <w:p w14:paraId="2F88D5F5" w14:textId="77777777" w:rsidR="00F237BC" w:rsidRPr="00C766C5" w:rsidRDefault="00F237BC" w:rsidP="00F237BC">
            <w:pPr>
              <w:rPr>
                <w:rFonts w:ascii="Times New Roman" w:hAnsi="Times New Roman"/>
                <w:color w:val="000000" w:themeColor="text1"/>
                <w:sz w:val="24"/>
                <w:szCs w:val="24"/>
              </w:rPr>
            </w:pPr>
            <w:r w:rsidRPr="00C766C5">
              <w:rPr>
                <w:rFonts w:ascii="Times New Roman" w:hAnsi="Times New Roman"/>
                <w:color w:val="000000" w:themeColor="text1"/>
                <w:sz w:val="24"/>
                <w:szCs w:val="24"/>
              </w:rPr>
              <w:t>Cebola</w:t>
            </w:r>
          </w:p>
        </w:tc>
        <w:tc>
          <w:tcPr>
            <w:tcW w:w="1110" w:type="dxa"/>
            <w:tcBorders>
              <w:top w:val="nil"/>
              <w:left w:val="nil"/>
              <w:bottom w:val="nil"/>
              <w:right w:val="nil"/>
            </w:tcBorders>
            <w:shd w:val="clear" w:color="auto" w:fill="auto"/>
            <w:vAlign w:val="center"/>
          </w:tcPr>
          <w:p w14:paraId="2F84E3C2"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106,6</w:t>
            </w:r>
          </w:p>
        </w:tc>
        <w:tc>
          <w:tcPr>
            <w:tcW w:w="1110" w:type="dxa"/>
            <w:tcBorders>
              <w:top w:val="nil"/>
              <w:left w:val="nil"/>
              <w:bottom w:val="nil"/>
              <w:right w:val="nil"/>
            </w:tcBorders>
            <w:shd w:val="clear" w:color="auto" w:fill="auto"/>
            <w:vAlign w:val="center"/>
          </w:tcPr>
          <w:p w14:paraId="18225575"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8,0</w:t>
            </w:r>
          </w:p>
        </w:tc>
        <w:tc>
          <w:tcPr>
            <w:tcW w:w="1111" w:type="dxa"/>
            <w:tcBorders>
              <w:top w:val="nil"/>
              <w:left w:val="nil"/>
              <w:bottom w:val="nil"/>
              <w:right w:val="nil"/>
            </w:tcBorders>
            <w:vAlign w:val="center"/>
          </w:tcPr>
          <w:p w14:paraId="78352405"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7,5</w:t>
            </w:r>
          </w:p>
        </w:tc>
        <w:tc>
          <w:tcPr>
            <w:tcW w:w="1110" w:type="dxa"/>
            <w:tcBorders>
              <w:top w:val="nil"/>
              <w:left w:val="nil"/>
              <w:bottom w:val="nil"/>
              <w:right w:val="nil"/>
            </w:tcBorders>
            <w:vAlign w:val="center"/>
          </w:tcPr>
          <w:p w14:paraId="29B3CEB3"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-0,71</w:t>
            </w:r>
          </w:p>
        </w:tc>
        <w:tc>
          <w:tcPr>
            <w:tcW w:w="1110" w:type="dxa"/>
            <w:tcBorders>
              <w:top w:val="nil"/>
              <w:left w:val="nil"/>
              <w:bottom w:val="nil"/>
              <w:right w:val="nil"/>
            </w:tcBorders>
            <w:vAlign w:val="center"/>
          </w:tcPr>
          <w:p w14:paraId="720D7EAB"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0,16</w:t>
            </w:r>
          </w:p>
        </w:tc>
        <w:tc>
          <w:tcPr>
            <w:tcW w:w="1111" w:type="dxa"/>
            <w:tcBorders>
              <w:top w:val="nil"/>
              <w:left w:val="nil"/>
              <w:bottom w:val="nil"/>
              <w:right w:val="nil"/>
            </w:tcBorders>
            <w:vAlign w:val="center"/>
          </w:tcPr>
          <w:p w14:paraId="0AC15791"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0,14</w:t>
            </w:r>
          </w:p>
        </w:tc>
      </w:tr>
      <w:tr w:rsidR="00F237BC" w:rsidRPr="00C766C5" w14:paraId="7AB51C25" w14:textId="77777777" w:rsidTr="00F237BC">
        <w:trPr>
          <w:trHeight w:val="74"/>
          <w:jc w:val="center"/>
        </w:trPr>
        <w:tc>
          <w:tcPr>
            <w:tcW w:w="2552" w:type="dxa"/>
            <w:tcBorders>
              <w:top w:val="nil"/>
              <w:left w:val="nil"/>
              <w:bottom w:val="nil"/>
              <w:right w:val="nil"/>
            </w:tcBorders>
            <w:vAlign w:val="center"/>
          </w:tcPr>
          <w:p w14:paraId="2AFC6E53" w14:textId="77777777" w:rsidR="00F237BC" w:rsidRPr="00C766C5" w:rsidRDefault="00F237BC" w:rsidP="00F237BC">
            <w:pPr>
              <w:rPr>
                <w:rFonts w:ascii="Times New Roman" w:hAnsi="Times New Roman"/>
                <w:color w:val="000000" w:themeColor="text1"/>
                <w:sz w:val="24"/>
                <w:szCs w:val="24"/>
              </w:rPr>
            </w:pPr>
            <w:r w:rsidRPr="00C766C5">
              <w:rPr>
                <w:rFonts w:ascii="Times New Roman" w:hAnsi="Times New Roman"/>
                <w:color w:val="000000" w:themeColor="text1"/>
                <w:sz w:val="24"/>
                <w:szCs w:val="24"/>
              </w:rPr>
              <w:t>Cacau</w:t>
            </w:r>
          </w:p>
        </w:tc>
        <w:tc>
          <w:tcPr>
            <w:tcW w:w="1110" w:type="dxa"/>
            <w:tcBorders>
              <w:top w:val="nil"/>
              <w:left w:val="nil"/>
              <w:bottom w:val="nil"/>
              <w:right w:val="nil"/>
            </w:tcBorders>
            <w:vAlign w:val="center"/>
          </w:tcPr>
          <w:p w14:paraId="31212F0F"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93,4</w:t>
            </w:r>
          </w:p>
        </w:tc>
        <w:tc>
          <w:tcPr>
            <w:tcW w:w="1110" w:type="dxa"/>
            <w:tcBorders>
              <w:top w:val="nil"/>
              <w:left w:val="nil"/>
              <w:bottom w:val="nil"/>
              <w:right w:val="nil"/>
            </w:tcBorders>
            <w:vAlign w:val="center"/>
          </w:tcPr>
          <w:p w14:paraId="6117222C"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6,1</w:t>
            </w:r>
          </w:p>
        </w:tc>
        <w:tc>
          <w:tcPr>
            <w:tcW w:w="1111" w:type="dxa"/>
            <w:tcBorders>
              <w:top w:val="nil"/>
              <w:left w:val="nil"/>
              <w:bottom w:val="nil"/>
              <w:right w:val="nil"/>
            </w:tcBorders>
            <w:vAlign w:val="center"/>
          </w:tcPr>
          <w:p w14:paraId="4F86D603"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6,5</w:t>
            </w:r>
          </w:p>
        </w:tc>
        <w:tc>
          <w:tcPr>
            <w:tcW w:w="1110" w:type="dxa"/>
            <w:tcBorders>
              <w:top w:val="nil"/>
              <w:left w:val="nil"/>
              <w:bottom w:val="nil"/>
              <w:right w:val="nil"/>
            </w:tcBorders>
            <w:vAlign w:val="center"/>
          </w:tcPr>
          <w:p w14:paraId="02CD1DBD"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0,03</w:t>
            </w:r>
          </w:p>
        </w:tc>
        <w:tc>
          <w:tcPr>
            <w:tcW w:w="1110" w:type="dxa"/>
            <w:tcBorders>
              <w:top w:val="nil"/>
              <w:left w:val="nil"/>
              <w:bottom w:val="nil"/>
              <w:right w:val="nil"/>
            </w:tcBorders>
            <w:vAlign w:val="center"/>
          </w:tcPr>
          <w:p w14:paraId="11FA9DAD"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0,00</w:t>
            </w:r>
          </w:p>
        </w:tc>
        <w:tc>
          <w:tcPr>
            <w:tcW w:w="1111" w:type="dxa"/>
            <w:tcBorders>
              <w:top w:val="nil"/>
              <w:left w:val="nil"/>
              <w:bottom w:val="nil"/>
              <w:right w:val="nil"/>
            </w:tcBorders>
            <w:vAlign w:val="center"/>
          </w:tcPr>
          <w:p w14:paraId="567FAA4C"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0,95</w:t>
            </w:r>
          </w:p>
        </w:tc>
      </w:tr>
      <w:tr w:rsidR="00F237BC" w:rsidRPr="00C766C5" w14:paraId="39E4FCE8" w14:textId="77777777" w:rsidTr="00F237BC">
        <w:trPr>
          <w:trHeight w:val="273"/>
          <w:jc w:val="center"/>
        </w:trPr>
        <w:tc>
          <w:tcPr>
            <w:tcW w:w="2552" w:type="dxa"/>
            <w:tcBorders>
              <w:top w:val="nil"/>
              <w:left w:val="nil"/>
              <w:bottom w:val="single" w:sz="4" w:space="0" w:color="auto"/>
              <w:right w:val="nil"/>
            </w:tcBorders>
            <w:vAlign w:val="center"/>
          </w:tcPr>
          <w:p w14:paraId="11059EEC" w14:textId="77777777" w:rsidR="00F237BC" w:rsidRPr="00C766C5" w:rsidRDefault="00F237BC" w:rsidP="00F237BC">
            <w:pPr>
              <w:rPr>
                <w:rFonts w:ascii="Times New Roman" w:hAnsi="Times New Roman"/>
                <w:color w:val="000000" w:themeColor="text1"/>
                <w:sz w:val="24"/>
                <w:szCs w:val="24"/>
              </w:rPr>
            </w:pPr>
            <w:r w:rsidRPr="00C766C5">
              <w:rPr>
                <w:rFonts w:ascii="Times New Roman" w:hAnsi="Times New Roman"/>
                <w:color w:val="000000" w:themeColor="text1"/>
                <w:sz w:val="24"/>
                <w:szCs w:val="24"/>
              </w:rPr>
              <w:t>Trigo</w:t>
            </w:r>
          </w:p>
        </w:tc>
        <w:tc>
          <w:tcPr>
            <w:tcW w:w="1110" w:type="dxa"/>
            <w:tcBorders>
              <w:top w:val="nil"/>
              <w:left w:val="nil"/>
              <w:bottom w:val="single" w:sz="4" w:space="0" w:color="auto"/>
              <w:right w:val="nil"/>
            </w:tcBorders>
            <w:vAlign w:val="center"/>
          </w:tcPr>
          <w:p w14:paraId="1FAE715E"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94,6</w:t>
            </w:r>
          </w:p>
        </w:tc>
        <w:tc>
          <w:tcPr>
            <w:tcW w:w="1110" w:type="dxa"/>
            <w:tcBorders>
              <w:top w:val="nil"/>
              <w:left w:val="nil"/>
              <w:bottom w:val="single" w:sz="4" w:space="0" w:color="auto"/>
              <w:right w:val="nil"/>
            </w:tcBorders>
            <w:vAlign w:val="center"/>
          </w:tcPr>
          <w:p w14:paraId="023FEE61"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10,9</w:t>
            </w:r>
          </w:p>
        </w:tc>
        <w:tc>
          <w:tcPr>
            <w:tcW w:w="1111" w:type="dxa"/>
            <w:tcBorders>
              <w:top w:val="nil"/>
              <w:left w:val="nil"/>
              <w:bottom w:val="single" w:sz="4" w:space="0" w:color="auto"/>
              <w:right w:val="nil"/>
            </w:tcBorders>
            <w:vAlign w:val="center"/>
          </w:tcPr>
          <w:p w14:paraId="69A8C0CC"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11,5</w:t>
            </w:r>
          </w:p>
        </w:tc>
        <w:tc>
          <w:tcPr>
            <w:tcW w:w="1110" w:type="dxa"/>
            <w:tcBorders>
              <w:top w:val="nil"/>
              <w:left w:val="nil"/>
              <w:bottom w:val="single" w:sz="4" w:space="0" w:color="auto"/>
              <w:right w:val="nil"/>
            </w:tcBorders>
            <w:vAlign w:val="center"/>
          </w:tcPr>
          <w:p w14:paraId="09F94FD8"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0,17</w:t>
            </w:r>
          </w:p>
        </w:tc>
        <w:tc>
          <w:tcPr>
            <w:tcW w:w="1110" w:type="dxa"/>
            <w:tcBorders>
              <w:top w:val="nil"/>
              <w:left w:val="nil"/>
              <w:bottom w:val="single" w:sz="4" w:space="0" w:color="auto"/>
              <w:right w:val="nil"/>
            </w:tcBorders>
            <w:vAlign w:val="center"/>
          </w:tcPr>
          <w:p w14:paraId="3C78D401"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0,01</w:t>
            </w:r>
          </w:p>
        </w:tc>
        <w:tc>
          <w:tcPr>
            <w:tcW w:w="1111" w:type="dxa"/>
            <w:tcBorders>
              <w:top w:val="nil"/>
              <w:left w:val="nil"/>
              <w:bottom w:val="single" w:sz="4" w:space="0" w:color="auto"/>
              <w:right w:val="nil"/>
            </w:tcBorders>
            <w:vAlign w:val="center"/>
          </w:tcPr>
          <w:p w14:paraId="026A0F98"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0,81</w:t>
            </w:r>
          </w:p>
        </w:tc>
      </w:tr>
      <w:tr w:rsidR="00F237BC" w:rsidRPr="00C766C5" w14:paraId="1C0119C0" w14:textId="77777777" w:rsidTr="00B15EDC">
        <w:trPr>
          <w:trHeight w:val="273"/>
          <w:jc w:val="center"/>
        </w:trPr>
        <w:tc>
          <w:tcPr>
            <w:tcW w:w="2552" w:type="dxa"/>
            <w:tcBorders>
              <w:top w:val="single" w:sz="4" w:space="0" w:color="auto"/>
              <w:left w:val="nil"/>
              <w:bottom w:val="single" w:sz="4" w:space="0" w:color="auto"/>
              <w:right w:val="nil"/>
            </w:tcBorders>
            <w:shd w:val="clear" w:color="auto" w:fill="F2F2F2" w:themeFill="background1" w:themeFillShade="F2"/>
            <w:vAlign w:val="center"/>
          </w:tcPr>
          <w:p w14:paraId="20C71D16" w14:textId="77777777" w:rsidR="00F237BC" w:rsidRPr="00C766C5" w:rsidRDefault="00F237BC" w:rsidP="00F237BC">
            <w:pPr>
              <w:rPr>
                <w:rFonts w:ascii="Times New Roman" w:hAnsi="Times New Roman"/>
                <w:color w:val="000000" w:themeColor="text1"/>
                <w:sz w:val="24"/>
                <w:szCs w:val="24"/>
              </w:rPr>
            </w:pPr>
            <w:r w:rsidRPr="00C766C5">
              <w:rPr>
                <w:rFonts w:ascii="Times New Roman" w:hAnsi="Times New Roman"/>
                <w:color w:val="000000" w:themeColor="text1"/>
                <w:sz w:val="24"/>
                <w:szCs w:val="24"/>
              </w:rPr>
              <w:t>Comercializáveis</w:t>
            </w:r>
          </w:p>
        </w:tc>
        <w:tc>
          <w:tcPr>
            <w:tcW w:w="1110" w:type="dxa"/>
            <w:tcBorders>
              <w:top w:val="single" w:sz="4" w:space="0" w:color="auto"/>
              <w:left w:val="nil"/>
              <w:bottom w:val="single" w:sz="4" w:space="0" w:color="auto"/>
              <w:right w:val="nil"/>
            </w:tcBorders>
            <w:shd w:val="clear" w:color="auto" w:fill="F2F2F2" w:themeFill="background1" w:themeFillShade="F2"/>
            <w:vAlign w:val="center"/>
          </w:tcPr>
          <w:p w14:paraId="11B3A671"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109,7</w:t>
            </w:r>
          </w:p>
        </w:tc>
        <w:tc>
          <w:tcPr>
            <w:tcW w:w="1110" w:type="dxa"/>
            <w:tcBorders>
              <w:top w:val="single" w:sz="4" w:space="0" w:color="auto"/>
              <w:left w:val="nil"/>
              <w:bottom w:val="single" w:sz="4" w:space="0" w:color="auto"/>
              <w:right w:val="nil"/>
            </w:tcBorders>
            <w:shd w:val="clear" w:color="auto" w:fill="F2F2F2" w:themeFill="background1" w:themeFillShade="F2"/>
            <w:vAlign w:val="center"/>
          </w:tcPr>
          <w:p w14:paraId="34050189"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25,4</w:t>
            </w:r>
          </w:p>
        </w:tc>
        <w:tc>
          <w:tcPr>
            <w:tcW w:w="1111" w:type="dxa"/>
            <w:tcBorders>
              <w:top w:val="single" w:sz="4" w:space="0" w:color="auto"/>
              <w:left w:val="nil"/>
              <w:bottom w:val="single" w:sz="4" w:space="0" w:color="auto"/>
              <w:right w:val="nil"/>
            </w:tcBorders>
            <w:shd w:val="clear" w:color="auto" w:fill="F2F2F2" w:themeFill="background1" w:themeFillShade="F2"/>
            <w:vAlign w:val="center"/>
          </w:tcPr>
          <w:p w14:paraId="3F18BF5C"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23,2</w:t>
            </w:r>
          </w:p>
        </w:tc>
        <w:tc>
          <w:tcPr>
            <w:tcW w:w="1110" w:type="dxa"/>
            <w:tcBorders>
              <w:top w:val="single" w:sz="4" w:space="0" w:color="auto"/>
              <w:left w:val="nil"/>
              <w:bottom w:val="single" w:sz="4" w:space="0" w:color="auto"/>
              <w:right w:val="nil"/>
            </w:tcBorders>
            <w:shd w:val="clear" w:color="auto" w:fill="F2F2F2" w:themeFill="background1" w:themeFillShade="F2"/>
            <w:vAlign w:val="center"/>
          </w:tcPr>
          <w:p w14:paraId="3371F70D" w14:textId="77777777" w:rsidR="00F237BC" w:rsidRPr="00C766C5" w:rsidDel="00FA3B3A" w:rsidRDefault="00F237BC" w:rsidP="00F237BC">
            <w:pPr>
              <w:jc w:val="center"/>
              <w:rPr>
                <w:rFonts w:ascii="Times New Roman" w:hAnsi="Times New Roman"/>
                <w:color w:val="000000" w:themeColor="text1"/>
                <w:sz w:val="24"/>
                <w:szCs w:val="24"/>
              </w:rPr>
            </w:pPr>
          </w:p>
        </w:tc>
        <w:tc>
          <w:tcPr>
            <w:tcW w:w="1110" w:type="dxa"/>
            <w:tcBorders>
              <w:top w:val="single" w:sz="4" w:space="0" w:color="auto"/>
              <w:left w:val="nil"/>
              <w:bottom w:val="single" w:sz="4" w:space="0" w:color="auto"/>
              <w:right w:val="nil"/>
            </w:tcBorders>
            <w:shd w:val="clear" w:color="auto" w:fill="F2F2F2" w:themeFill="background1" w:themeFillShade="F2"/>
            <w:vAlign w:val="center"/>
          </w:tcPr>
          <w:p w14:paraId="361F8444" w14:textId="77777777" w:rsidR="00F237BC" w:rsidRPr="00C766C5" w:rsidDel="00FA3B3A" w:rsidRDefault="00F237BC" w:rsidP="00F237BC">
            <w:pPr>
              <w:jc w:val="center"/>
              <w:rPr>
                <w:rFonts w:ascii="Times New Roman" w:hAnsi="Times New Roman"/>
                <w:color w:val="000000" w:themeColor="text1"/>
                <w:sz w:val="24"/>
                <w:szCs w:val="24"/>
              </w:rPr>
            </w:pPr>
          </w:p>
        </w:tc>
        <w:tc>
          <w:tcPr>
            <w:tcW w:w="1111" w:type="dxa"/>
            <w:tcBorders>
              <w:top w:val="single" w:sz="4" w:space="0" w:color="auto"/>
              <w:left w:val="nil"/>
              <w:bottom w:val="single" w:sz="4" w:space="0" w:color="auto"/>
              <w:right w:val="nil"/>
            </w:tcBorders>
            <w:shd w:val="clear" w:color="auto" w:fill="F2F2F2" w:themeFill="background1" w:themeFillShade="F2"/>
            <w:vAlign w:val="center"/>
          </w:tcPr>
          <w:p w14:paraId="7221F6AC" w14:textId="77777777" w:rsidR="00F237BC" w:rsidRPr="00C766C5" w:rsidDel="00FA3B3A" w:rsidRDefault="00F237BC" w:rsidP="00F237BC">
            <w:pPr>
              <w:jc w:val="center"/>
              <w:rPr>
                <w:rFonts w:ascii="Times New Roman" w:hAnsi="Times New Roman"/>
                <w:color w:val="000000" w:themeColor="text1"/>
                <w:sz w:val="24"/>
                <w:szCs w:val="24"/>
              </w:rPr>
            </w:pPr>
          </w:p>
        </w:tc>
      </w:tr>
      <w:tr w:rsidR="00F237BC" w:rsidRPr="00C766C5" w14:paraId="78FBF58C" w14:textId="77777777" w:rsidTr="00F237BC">
        <w:trPr>
          <w:trHeight w:val="273"/>
          <w:jc w:val="center"/>
        </w:trPr>
        <w:tc>
          <w:tcPr>
            <w:tcW w:w="2552" w:type="dxa"/>
            <w:tcBorders>
              <w:top w:val="single" w:sz="4" w:space="0" w:color="auto"/>
              <w:left w:val="nil"/>
              <w:bottom w:val="nil"/>
              <w:right w:val="nil"/>
            </w:tcBorders>
            <w:vAlign w:val="center"/>
          </w:tcPr>
          <w:p w14:paraId="71459890" w14:textId="77777777" w:rsidR="00F237BC" w:rsidRPr="00C766C5" w:rsidRDefault="00F237BC" w:rsidP="00F237BC">
            <w:pPr>
              <w:rPr>
                <w:rFonts w:ascii="Times New Roman" w:hAnsi="Times New Roman"/>
                <w:color w:val="000000" w:themeColor="text1"/>
                <w:sz w:val="24"/>
                <w:szCs w:val="24"/>
              </w:rPr>
            </w:pPr>
            <w:r w:rsidRPr="00C766C5">
              <w:rPr>
                <w:rFonts w:ascii="Times New Roman" w:hAnsi="Times New Roman"/>
                <w:color w:val="000000" w:themeColor="text1"/>
                <w:sz w:val="24"/>
                <w:szCs w:val="24"/>
              </w:rPr>
              <w:t>Arroz</w:t>
            </w:r>
          </w:p>
        </w:tc>
        <w:tc>
          <w:tcPr>
            <w:tcW w:w="1110" w:type="dxa"/>
            <w:tcBorders>
              <w:top w:val="single" w:sz="4" w:space="0" w:color="auto"/>
              <w:left w:val="nil"/>
              <w:bottom w:val="nil"/>
              <w:right w:val="nil"/>
            </w:tcBorders>
            <w:vAlign w:val="center"/>
          </w:tcPr>
          <w:p w14:paraId="15FAC6E6"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92,0</w:t>
            </w:r>
          </w:p>
        </w:tc>
        <w:tc>
          <w:tcPr>
            <w:tcW w:w="1110" w:type="dxa"/>
            <w:tcBorders>
              <w:top w:val="single" w:sz="4" w:space="0" w:color="auto"/>
              <w:left w:val="nil"/>
              <w:bottom w:val="nil"/>
              <w:right w:val="nil"/>
            </w:tcBorders>
            <w:vAlign w:val="center"/>
          </w:tcPr>
          <w:p w14:paraId="50AD1F53"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9,0</w:t>
            </w:r>
          </w:p>
        </w:tc>
        <w:tc>
          <w:tcPr>
            <w:tcW w:w="1111" w:type="dxa"/>
            <w:tcBorders>
              <w:top w:val="single" w:sz="4" w:space="0" w:color="auto"/>
              <w:left w:val="nil"/>
              <w:bottom w:val="nil"/>
              <w:right w:val="nil"/>
            </w:tcBorders>
            <w:vAlign w:val="center"/>
          </w:tcPr>
          <w:p w14:paraId="1C978EB8"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9,8</w:t>
            </w:r>
          </w:p>
        </w:tc>
        <w:tc>
          <w:tcPr>
            <w:tcW w:w="1110" w:type="dxa"/>
            <w:tcBorders>
              <w:top w:val="single" w:sz="4" w:space="0" w:color="auto"/>
              <w:left w:val="nil"/>
              <w:bottom w:val="nil"/>
              <w:right w:val="nil"/>
            </w:tcBorders>
            <w:vAlign w:val="center"/>
          </w:tcPr>
          <w:p w14:paraId="7D4ADAF8"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-1,66</w:t>
            </w:r>
          </w:p>
        </w:tc>
        <w:tc>
          <w:tcPr>
            <w:tcW w:w="1110" w:type="dxa"/>
            <w:tcBorders>
              <w:top w:val="single" w:sz="4" w:space="0" w:color="auto"/>
              <w:left w:val="nil"/>
              <w:bottom w:val="nil"/>
              <w:right w:val="nil"/>
            </w:tcBorders>
            <w:vAlign w:val="center"/>
          </w:tcPr>
          <w:p w14:paraId="3BBF49CA"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0,67</w:t>
            </w:r>
          </w:p>
        </w:tc>
        <w:tc>
          <w:tcPr>
            <w:tcW w:w="1111" w:type="dxa"/>
            <w:tcBorders>
              <w:top w:val="single" w:sz="4" w:space="0" w:color="auto"/>
              <w:left w:val="nil"/>
              <w:bottom w:val="nil"/>
              <w:right w:val="nil"/>
            </w:tcBorders>
            <w:vAlign w:val="center"/>
          </w:tcPr>
          <w:p w14:paraId="347EA13A"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0,00***</w:t>
            </w:r>
          </w:p>
        </w:tc>
      </w:tr>
      <w:tr w:rsidR="00F237BC" w:rsidRPr="00C766C5" w14:paraId="14CC6C8E" w14:textId="77777777" w:rsidTr="00F237BC">
        <w:trPr>
          <w:trHeight w:val="273"/>
          <w:jc w:val="center"/>
        </w:trPr>
        <w:tc>
          <w:tcPr>
            <w:tcW w:w="2552" w:type="dxa"/>
            <w:tcBorders>
              <w:top w:val="nil"/>
              <w:left w:val="nil"/>
              <w:bottom w:val="nil"/>
              <w:right w:val="nil"/>
            </w:tcBorders>
            <w:shd w:val="clear" w:color="auto" w:fill="auto"/>
            <w:vAlign w:val="center"/>
          </w:tcPr>
          <w:p w14:paraId="75080700" w14:textId="77777777" w:rsidR="00F237BC" w:rsidRPr="00C766C5" w:rsidRDefault="00F237BC" w:rsidP="00F237BC">
            <w:pPr>
              <w:rPr>
                <w:rFonts w:ascii="Times New Roman" w:hAnsi="Times New Roman"/>
                <w:color w:val="000000" w:themeColor="text1"/>
                <w:sz w:val="24"/>
                <w:szCs w:val="24"/>
              </w:rPr>
            </w:pPr>
            <w:r w:rsidRPr="00C766C5">
              <w:rPr>
                <w:rFonts w:ascii="Times New Roman" w:hAnsi="Times New Roman"/>
                <w:color w:val="000000" w:themeColor="text1"/>
                <w:sz w:val="24"/>
                <w:szCs w:val="24"/>
              </w:rPr>
              <w:t>Feijão</w:t>
            </w:r>
          </w:p>
        </w:tc>
        <w:tc>
          <w:tcPr>
            <w:tcW w:w="1110" w:type="dxa"/>
            <w:tcBorders>
              <w:top w:val="nil"/>
              <w:left w:val="nil"/>
              <w:bottom w:val="nil"/>
              <w:right w:val="nil"/>
            </w:tcBorders>
            <w:shd w:val="clear" w:color="auto" w:fill="auto"/>
            <w:vAlign w:val="center"/>
          </w:tcPr>
          <w:p w14:paraId="500170AD"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90,5</w:t>
            </w:r>
          </w:p>
        </w:tc>
        <w:tc>
          <w:tcPr>
            <w:tcW w:w="1110" w:type="dxa"/>
            <w:tcBorders>
              <w:top w:val="nil"/>
              <w:left w:val="nil"/>
              <w:bottom w:val="nil"/>
              <w:right w:val="nil"/>
            </w:tcBorders>
            <w:shd w:val="clear" w:color="auto" w:fill="auto"/>
            <w:vAlign w:val="center"/>
          </w:tcPr>
          <w:p w14:paraId="624C896B"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11,8</w:t>
            </w:r>
          </w:p>
        </w:tc>
        <w:tc>
          <w:tcPr>
            <w:tcW w:w="1111" w:type="dxa"/>
            <w:tcBorders>
              <w:top w:val="nil"/>
              <w:left w:val="nil"/>
              <w:bottom w:val="nil"/>
              <w:right w:val="nil"/>
            </w:tcBorders>
            <w:vAlign w:val="center"/>
          </w:tcPr>
          <w:p w14:paraId="2D40AF48"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13,1</w:t>
            </w:r>
          </w:p>
        </w:tc>
        <w:tc>
          <w:tcPr>
            <w:tcW w:w="1110" w:type="dxa"/>
            <w:tcBorders>
              <w:top w:val="nil"/>
              <w:left w:val="nil"/>
              <w:bottom w:val="nil"/>
              <w:right w:val="nil"/>
            </w:tcBorders>
            <w:vAlign w:val="center"/>
          </w:tcPr>
          <w:p w14:paraId="259115BB"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-2,44</w:t>
            </w:r>
          </w:p>
        </w:tc>
        <w:tc>
          <w:tcPr>
            <w:tcW w:w="1110" w:type="dxa"/>
            <w:tcBorders>
              <w:top w:val="nil"/>
              <w:left w:val="nil"/>
              <w:bottom w:val="nil"/>
              <w:right w:val="nil"/>
            </w:tcBorders>
            <w:vAlign w:val="center"/>
          </w:tcPr>
          <w:p w14:paraId="49FB5FBB"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0,85</w:t>
            </w:r>
          </w:p>
        </w:tc>
        <w:tc>
          <w:tcPr>
            <w:tcW w:w="1111" w:type="dxa"/>
            <w:tcBorders>
              <w:top w:val="nil"/>
              <w:left w:val="nil"/>
              <w:bottom w:val="nil"/>
              <w:right w:val="nil"/>
            </w:tcBorders>
            <w:vAlign w:val="center"/>
          </w:tcPr>
          <w:p w14:paraId="4B9456A2"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0,00***</w:t>
            </w:r>
          </w:p>
        </w:tc>
      </w:tr>
      <w:tr w:rsidR="00F237BC" w:rsidRPr="00C766C5" w14:paraId="5E4371CB" w14:textId="77777777" w:rsidTr="00F237BC">
        <w:trPr>
          <w:trHeight w:val="273"/>
          <w:jc w:val="center"/>
        </w:trPr>
        <w:tc>
          <w:tcPr>
            <w:tcW w:w="2552" w:type="dxa"/>
            <w:tcBorders>
              <w:top w:val="nil"/>
              <w:left w:val="nil"/>
              <w:bottom w:val="nil"/>
              <w:right w:val="nil"/>
            </w:tcBorders>
            <w:vAlign w:val="center"/>
          </w:tcPr>
          <w:p w14:paraId="016D460D" w14:textId="77777777" w:rsidR="00F237BC" w:rsidRPr="00C766C5" w:rsidRDefault="00F237BC" w:rsidP="00F237BC">
            <w:pPr>
              <w:rPr>
                <w:rFonts w:ascii="Times New Roman" w:hAnsi="Times New Roman"/>
                <w:color w:val="000000" w:themeColor="text1"/>
                <w:sz w:val="24"/>
                <w:szCs w:val="24"/>
              </w:rPr>
            </w:pPr>
            <w:r w:rsidRPr="00C766C5">
              <w:rPr>
                <w:rFonts w:ascii="Times New Roman" w:hAnsi="Times New Roman"/>
                <w:color w:val="000000" w:themeColor="text1"/>
                <w:sz w:val="24"/>
                <w:szCs w:val="24"/>
              </w:rPr>
              <w:t>Bovinocultura de Leite</w:t>
            </w:r>
          </w:p>
        </w:tc>
        <w:tc>
          <w:tcPr>
            <w:tcW w:w="1110" w:type="dxa"/>
            <w:tcBorders>
              <w:top w:val="nil"/>
              <w:left w:val="nil"/>
              <w:bottom w:val="nil"/>
              <w:right w:val="nil"/>
            </w:tcBorders>
            <w:vAlign w:val="center"/>
          </w:tcPr>
          <w:p w14:paraId="5825189E"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123,4</w:t>
            </w:r>
          </w:p>
        </w:tc>
        <w:tc>
          <w:tcPr>
            <w:tcW w:w="1110" w:type="dxa"/>
            <w:tcBorders>
              <w:top w:val="nil"/>
              <w:left w:val="nil"/>
              <w:bottom w:val="nil"/>
              <w:right w:val="nil"/>
            </w:tcBorders>
            <w:vAlign w:val="center"/>
          </w:tcPr>
          <w:p w14:paraId="222E5293"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10,5</w:t>
            </w:r>
          </w:p>
        </w:tc>
        <w:tc>
          <w:tcPr>
            <w:tcW w:w="1111" w:type="dxa"/>
            <w:tcBorders>
              <w:top w:val="nil"/>
              <w:left w:val="nil"/>
              <w:bottom w:val="nil"/>
              <w:right w:val="nil"/>
            </w:tcBorders>
            <w:vAlign w:val="center"/>
          </w:tcPr>
          <w:p w14:paraId="662282EE"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8,5</w:t>
            </w:r>
          </w:p>
        </w:tc>
        <w:tc>
          <w:tcPr>
            <w:tcW w:w="1110" w:type="dxa"/>
            <w:tcBorders>
              <w:top w:val="nil"/>
              <w:left w:val="nil"/>
              <w:bottom w:val="nil"/>
              <w:right w:val="nil"/>
            </w:tcBorders>
            <w:vAlign w:val="center"/>
          </w:tcPr>
          <w:p w14:paraId="5505C0C6"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1,97</w:t>
            </w:r>
          </w:p>
        </w:tc>
        <w:tc>
          <w:tcPr>
            <w:tcW w:w="1110" w:type="dxa"/>
            <w:tcBorders>
              <w:top w:val="nil"/>
              <w:left w:val="nil"/>
              <w:bottom w:val="nil"/>
              <w:right w:val="nil"/>
            </w:tcBorders>
            <w:vAlign w:val="center"/>
          </w:tcPr>
          <w:p w14:paraId="58C13D60"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0,70</w:t>
            </w:r>
          </w:p>
        </w:tc>
        <w:tc>
          <w:tcPr>
            <w:tcW w:w="1111" w:type="dxa"/>
            <w:tcBorders>
              <w:top w:val="nil"/>
              <w:left w:val="nil"/>
              <w:bottom w:val="nil"/>
              <w:right w:val="nil"/>
            </w:tcBorders>
            <w:vAlign w:val="center"/>
          </w:tcPr>
          <w:p w14:paraId="085C76BA"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0,00***</w:t>
            </w:r>
          </w:p>
        </w:tc>
      </w:tr>
      <w:tr w:rsidR="00F237BC" w:rsidRPr="00C766C5" w14:paraId="52A3F6F3" w14:textId="77777777" w:rsidTr="00F237BC">
        <w:trPr>
          <w:trHeight w:val="273"/>
          <w:jc w:val="center"/>
        </w:trPr>
        <w:tc>
          <w:tcPr>
            <w:tcW w:w="2552" w:type="dxa"/>
            <w:tcBorders>
              <w:top w:val="nil"/>
              <w:left w:val="nil"/>
              <w:bottom w:val="single" w:sz="4" w:space="0" w:color="auto"/>
              <w:right w:val="nil"/>
            </w:tcBorders>
            <w:vAlign w:val="center"/>
          </w:tcPr>
          <w:p w14:paraId="5C7169BD" w14:textId="77777777" w:rsidR="00F237BC" w:rsidRPr="00C766C5" w:rsidRDefault="00F237BC" w:rsidP="00F237BC">
            <w:pPr>
              <w:rPr>
                <w:rFonts w:ascii="Times New Roman" w:hAnsi="Times New Roman"/>
                <w:color w:val="000000" w:themeColor="text1"/>
                <w:sz w:val="24"/>
                <w:szCs w:val="24"/>
              </w:rPr>
            </w:pPr>
            <w:r w:rsidRPr="00C766C5">
              <w:rPr>
                <w:rFonts w:ascii="Times New Roman" w:hAnsi="Times New Roman"/>
                <w:color w:val="000000" w:themeColor="text1"/>
                <w:sz w:val="24"/>
                <w:szCs w:val="24"/>
              </w:rPr>
              <w:t>Batata</w:t>
            </w:r>
          </w:p>
        </w:tc>
        <w:tc>
          <w:tcPr>
            <w:tcW w:w="1110" w:type="dxa"/>
            <w:tcBorders>
              <w:top w:val="nil"/>
              <w:left w:val="nil"/>
              <w:bottom w:val="single" w:sz="4" w:space="0" w:color="auto"/>
              <w:right w:val="nil"/>
            </w:tcBorders>
            <w:vAlign w:val="center"/>
          </w:tcPr>
          <w:p w14:paraId="05F24E35"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99,8</w:t>
            </w:r>
          </w:p>
        </w:tc>
        <w:tc>
          <w:tcPr>
            <w:tcW w:w="1110" w:type="dxa"/>
            <w:tcBorders>
              <w:top w:val="nil"/>
              <w:left w:val="nil"/>
              <w:bottom w:val="single" w:sz="4" w:space="0" w:color="auto"/>
              <w:right w:val="nil"/>
            </w:tcBorders>
            <w:vAlign w:val="center"/>
          </w:tcPr>
          <w:p w14:paraId="3BAEF2DD"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3,5</w:t>
            </w:r>
          </w:p>
        </w:tc>
        <w:tc>
          <w:tcPr>
            <w:tcW w:w="1111" w:type="dxa"/>
            <w:tcBorders>
              <w:top w:val="nil"/>
              <w:left w:val="nil"/>
              <w:bottom w:val="single" w:sz="4" w:space="0" w:color="auto"/>
              <w:right w:val="nil"/>
            </w:tcBorders>
            <w:vAlign w:val="center"/>
          </w:tcPr>
          <w:p w14:paraId="41A7D72F"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3,5</w:t>
            </w:r>
          </w:p>
        </w:tc>
        <w:tc>
          <w:tcPr>
            <w:tcW w:w="1110" w:type="dxa"/>
            <w:tcBorders>
              <w:top w:val="nil"/>
              <w:left w:val="nil"/>
              <w:bottom w:val="single" w:sz="4" w:space="0" w:color="auto"/>
              <w:right w:val="nil"/>
            </w:tcBorders>
            <w:vAlign w:val="center"/>
          </w:tcPr>
          <w:p w14:paraId="5EF70A2D"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-0,18</w:t>
            </w:r>
          </w:p>
        </w:tc>
        <w:tc>
          <w:tcPr>
            <w:tcW w:w="1110" w:type="dxa"/>
            <w:tcBorders>
              <w:top w:val="nil"/>
              <w:left w:val="nil"/>
              <w:bottom w:val="single" w:sz="4" w:space="0" w:color="auto"/>
              <w:right w:val="nil"/>
            </w:tcBorders>
            <w:vAlign w:val="center"/>
          </w:tcPr>
          <w:p w14:paraId="464E53F6"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0,05</w:t>
            </w:r>
          </w:p>
        </w:tc>
        <w:tc>
          <w:tcPr>
            <w:tcW w:w="1111" w:type="dxa"/>
            <w:tcBorders>
              <w:top w:val="nil"/>
              <w:left w:val="nil"/>
              <w:bottom w:val="single" w:sz="4" w:space="0" w:color="auto"/>
              <w:right w:val="nil"/>
            </w:tcBorders>
            <w:vAlign w:val="center"/>
          </w:tcPr>
          <w:p w14:paraId="45F7E89F"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0,41</w:t>
            </w:r>
          </w:p>
        </w:tc>
      </w:tr>
      <w:tr w:rsidR="00F237BC" w:rsidRPr="00C766C5" w14:paraId="3AB99FFD" w14:textId="77777777" w:rsidTr="00B15EDC">
        <w:trPr>
          <w:trHeight w:val="273"/>
          <w:jc w:val="center"/>
        </w:trPr>
        <w:tc>
          <w:tcPr>
            <w:tcW w:w="2552" w:type="dxa"/>
            <w:tcBorders>
              <w:top w:val="single" w:sz="4" w:space="0" w:color="auto"/>
              <w:left w:val="nil"/>
              <w:bottom w:val="single" w:sz="4" w:space="0" w:color="auto"/>
              <w:right w:val="nil"/>
            </w:tcBorders>
            <w:shd w:val="clear" w:color="auto" w:fill="F2F2F2" w:themeFill="background1" w:themeFillShade="F2"/>
            <w:vAlign w:val="center"/>
          </w:tcPr>
          <w:p w14:paraId="7745A449" w14:textId="36BE2ECE" w:rsidR="00F237BC" w:rsidRPr="00C766C5" w:rsidRDefault="00F237BC" w:rsidP="00F237BC">
            <w:pPr>
              <w:rPr>
                <w:rFonts w:ascii="Times New Roman" w:hAnsi="Times New Roman"/>
                <w:color w:val="000000" w:themeColor="text1"/>
                <w:sz w:val="24"/>
                <w:szCs w:val="24"/>
              </w:rPr>
            </w:pPr>
            <w:r w:rsidRPr="00C766C5">
              <w:rPr>
                <w:rFonts w:ascii="Times New Roman" w:hAnsi="Times New Roman"/>
                <w:color w:val="000000" w:themeColor="text1"/>
                <w:sz w:val="24"/>
                <w:szCs w:val="24"/>
              </w:rPr>
              <w:t>Med. Comercializáveis</w:t>
            </w:r>
          </w:p>
        </w:tc>
        <w:tc>
          <w:tcPr>
            <w:tcW w:w="1110" w:type="dxa"/>
            <w:tcBorders>
              <w:top w:val="single" w:sz="4" w:space="0" w:color="auto"/>
              <w:left w:val="nil"/>
              <w:bottom w:val="single" w:sz="4" w:space="0" w:color="auto"/>
              <w:right w:val="nil"/>
            </w:tcBorders>
            <w:shd w:val="clear" w:color="auto" w:fill="F2F2F2" w:themeFill="background1" w:themeFillShade="F2"/>
            <w:vAlign w:val="center"/>
          </w:tcPr>
          <w:p w14:paraId="45BC86D2"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101,4</w:t>
            </w:r>
          </w:p>
        </w:tc>
        <w:tc>
          <w:tcPr>
            <w:tcW w:w="1110" w:type="dxa"/>
            <w:tcBorders>
              <w:top w:val="single" w:sz="4" w:space="0" w:color="auto"/>
              <w:left w:val="nil"/>
              <w:bottom w:val="single" w:sz="4" w:space="0" w:color="auto"/>
              <w:right w:val="nil"/>
            </w:tcBorders>
            <w:shd w:val="clear" w:color="auto" w:fill="F2F2F2" w:themeFill="background1" w:themeFillShade="F2"/>
            <w:vAlign w:val="center"/>
          </w:tcPr>
          <w:p w14:paraId="6C8CFB55"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16,1</w:t>
            </w:r>
          </w:p>
        </w:tc>
        <w:tc>
          <w:tcPr>
            <w:tcW w:w="1111" w:type="dxa"/>
            <w:tcBorders>
              <w:top w:val="single" w:sz="4" w:space="0" w:color="auto"/>
              <w:left w:val="nil"/>
              <w:bottom w:val="single" w:sz="4" w:space="0" w:color="auto"/>
              <w:right w:val="nil"/>
            </w:tcBorders>
            <w:shd w:val="clear" w:color="auto" w:fill="F2F2F2" w:themeFill="background1" w:themeFillShade="F2"/>
            <w:vAlign w:val="center"/>
          </w:tcPr>
          <w:p w14:paraId="7792CBEF"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15,8</w:t>
            </w:r>
          </w:p>
        </w:tc>
        <w:tc>
          <w:tcPr>
            <w:tcW w:w="1110" w:type="dxa"/>
            <w:tcBorders>
              <w:top w:val="single" w:sz="4" w:space="0" w:color="auto"/>
              <w:left w:val="nil"/>
              <w:bottom w:val="single" w:sz="4" w:space="0" w:color="auto"/>
              <w:right w:val="nil"/>
            </w:tcBorders>
            <w:shd w:val="clear" w:color="auto" w:fill="F2F2F2" w:themeFill="background1" w:themeFillShade="F2"/>
            <w:vAlign w:val="center"/>
          </w:tcPr>
          <w:p w14:paraId="55A68AEE" w14:textId="77777777" w:rsidR="00F237BC" w:rsidRPr="00C766C5" w:rsidRDefault="00F237BC" w:rsidP="00F237BC">
            <w:pPr>
              <w:jc w:val="center"/>
              <w:rPr>
                <w:rFonts w:ascii="Times New Roman" w:hAnsi="Times New Roman"/>
                <w:color w:val="000000" w:themeColor="text1"/>
                <w:sz w:val="24"/>
                <w:szCs w:val="24"/>
              </w:rPr>
            </w:pPr>
          </w:p>
        </w:tc>
        <w:tc>
          <w:tcPr>
            <w:tcW w:w="1110" w:type="dxa"/>
            <w:tcBorders>
              <w:top w:val="single" w:sz="4" w:space="0" w:color="auto"/>
              <w:left w:val="nil"/>
              <w:bottom w:val="single" w:sz="4" w:space="0" w:color="auto"/>
              <w:right w:val="nil"/>
            </w:tcBorders>
            <w:shd w:val="clear" w:color="auto" w:fill="F2F2F2" w:themeFill="background1" w:themeFillShade="F2"/>
            <w:vAlign w:val="center"/>
          </w:tcPr>
          <w:p w14:paraId="712CB715" w14:textId="77777777" w:rsidR="00F237BC" w:rsidRPr="00C766C5" w:rsidRDefault="00F237BC" w:rsidP="00F237BC">
            <w:pPr>
              <w:jc w:val="center"/>
              <w:rPr>
                <w:rFonts w:ascii="Times New Roman" w:hAnsi="Times New Roman"/>
                <w:color w:val="000000" w:themeColor="text1"/>
                <w:sz w:val="24"/>
                <w:szCs w:val="24"/>
              </w:rPr>
            </w:pPr>
          </w:p>
        </w:tc>
        <w:tc>
          <w:tcPr>
            <w:tcW w:w="1111" w:type="dxa"/>
            <w:tcBorders>
              <w:top w:val="single" w:sz="4" w:space="0" w:color="auto"/>
              <w:left w:val="nil"/>
              <w:bottom w:val="single" w:sz="4" w:space="0" w:color="auto"/>
              <w:right w:val="nil"/>
            </w:tcBorders>
            <w:shd w:val="clear" w:color="auto" w:fill="F2F2F2" w:themeFill="background1" w:themeFillShade="F2"/>
            <w:vAlign w:val="center"/>
          </w:tcPr>
          <w:p w14:paraId="5B788CAD" w14:textId="77777777" w:rsidR="00F237BC" w:rsidRPr="00C766C5" w:rsidRDefault="00F237BC" w:rsidP="00F237BC">
            <w:pPr>
              <w:jc w:val="center"/>
              <w:rPr>
                <w:rFonts w:ascii="Times New Roman" w:hAnsi="Times New Roman"/>
                <w:color w:val="000000" w:themeColor="text1"/>
                <w:sz w:val="24"/>
                <w:szCs w:val="24"/>
              </w:rPr>
            </w:pPr>
          </w:p>
        </w:tc>
      </w:tr>
      <w:tr w:rsidR="00F237BC" w:rsidRPr="00C766C5" w14:paraId="3C06FF98" w14:textId="77777777" w:rsidTr="00F237BC">
        <w:trPr>
          <w:trHeight w:val="273"/>
          <w:jc w:val="center"/>
        </w:trPr>
        <w:tc>
          <w:tcPr>
            <w:tcW w:w="2552" w:type="dxa"/>
            <w:tcBorders>
              <w:top w:val="single" w:sz="4" w:space="0" w:color="auto"/>
              <w:left w:val="nil"/>
              <w:bottom w:val="nil"/>
              <w:right w:val="nil"/>
            </w:tcBorders>
            <w:vAlign w:val="center"/>
          </w:tcPr>
          <w:p w14:paraId="7E3B9043" w14:textId="77777777" w:rsidR="00F237BC" w:rsidRPr="00C766C5" w:rsidRDefault="00F237BC" w:rsidP="00F237BC">
            <w:pPr>
              <w:rPr>
                <w:rFonts w:ascii="Times New Roman" w:hAnsi="Times New Roman"/>
                <w:color w:val="000000" w:themeColor="text1"/>
                <w:sz w:val="24"/>
                <w:szCs w:val="24"/>
              </w:rPr>
            </w:pPr>
            <w:r w:rsidRPr="00C766C5">
              <w:rPr>
                <w:rFonts w:ascii="Times New Roman" w:hAnsi="Times New Roman"/>
                <w:color w:val="000000" w:themeColor="text1"/>
                <w:sz w:val="24"/>
                <w:szCs w:val="24"/>
              </w:rPr>
              <w:t>Banana</w:t>
            </w:r>
          </w:p>
        </w:tc>
        <w:tc>
          <w:tcPr>
            <w:tcW w:w="1110" w:type="dxa"/>
            <w:tcBorders>
              <w:top w:val="single" w:sz="4" w:space="0" w:color="auto"/>
              <w:left w:val="nil"/>
              <w:bottom w:val="nil"/>
              <w:right w:val="nil"/>
            </w:tcBorders>
            <w:vAlign w:val="center"/>
          </w:tcPr>
          <w:p w14:paraId="4E1A54FF"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90,0</w:t>
            </w:r>
          </w:p>
        </w:tc>
        <w:tc>
          <w:tcPr>
            <w:tcW w:w="1110" w:type="dxa"/>
            <w:tcBorders>
              <w:top w:val="single" w:sz="4" w:space="0" w:color="auto"/>
              <w:left w:val="nil"/>
              <w:bottom w:val="nil"/>
              <w:right w:val="nil"/>
            </w:tcBorders>
            <w:vAlign w:val="center"/>
          </w:tcPr>
          <w:p w14:paraId="633BA1D0"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6,0</w:t>
            </w:r>
          </w:p>
        </w:tc>
        <w:tc>
          <w:tcPr>
            <w:tcW w:w="1111" w:type="dxa"/>
            <w:tcBorders>
              <w:top w:val="single" w:sz="4" w:space="0" w:color="auto"/>
              <w:left w:val="nil"/>
              <w:bottom w:val="nil"/>
              <w:right w:val="nil"/>
            </w:tcBorders>
            <w:vAlign w:val="center"/>
          </w:tcPr>
          <w:p w14:paraId="01BB86FA"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6,7</w:t>
            </w:r>
          </w:p>
        </w:tc>
        <w:tc>
          <w:tcPr>
            <w:tcW w:w="1110" w:type="dxa"/>
            <w:tcBorders>
              <w:top w:val="single" w:sz="4" w:space="0" w:color="auto"/>
              <w:left w:val="nil"/>
              <w:bottom w:val="nil"/>
              <w:right w:val="nil"/>
            </w:tcBorders>
            <w:vAlign w:val="center"/>
          </w:tcPr>
          <w:p w14:paraId="1235D334"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-1,23</w:t>
            </w:r>
          </w:p>
        </w:tc>
        <w:tc>
          <w:tcPr>
            <w:tcW w:w="1110" w:type="dxa"/>
            <w:tcBorders>
              <w:top w:val="single" w:sz="4" w:space="0" w:color="auto"/>
              <w:left w:val="nil"/>
              <w:bottom w:val="nil"/>
              <w:right w:val="nil"/>
            </w:tcBorders>
            <w:vAlign w:val="center"/>
          </w:tcPr>
          <w:p w14:paraId="35F43614"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0,84</w:t>
            </w:r>
          </w:p>
        </w:tc>
        <w:tc>
          <w:tcPr>
            <w:tcW w:w="1111" w:type="dxa"/>
            <w:tcBorders>
              <w:top w:val="single" w:sz="4" w:space="0" w:color="auto"/>
              <w:left w:val="nil"/>
              <w:bottom w:val="nil"/>
              <w:right w:val="nil"/>
            </w:tcBorders>
            <w:vAlign w:val="center"/>
          </w:tcPr>
          <w:p w14:paraId="74CB72FB"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0,00***</w:t>
            </w:r>
          </w:p>
        </w:tc>
      </w:tr>
      <w:tr w:rsidR="00F237BC" w:rsidRPr="00C766C5" w14:paraId="213BC973" w14:textId="77777777" w:rsidTr="00F237BC">
        <w:trPr>
          <w:trHeight w:val="273"/>
          <w:jc w:val="center"/>
        </w:trPr>
        <w:tc>
          <w:tcPr>
            <w:tcW w:w="2552" w:type="dxa"/>
            <w:tcBorders>
              <w:top w:val="nil"/>
              <w:left w:val="nil"/>
              <w:bottom w:val="nil"/>
              <w:right w:val="nil"/>
            </w:tcBorders>
            <w:vAlign w:val="center"/>
          </w:tcPr>
          <w:p w14:paraId="73884029" w14:textId="77777777" w:rsidR="00F237BC" w:rsidRPr="00C766C5" w:rsidRDefault="00F237BC" w:rsidP="00F237BC">
            <w:pPr>
              <w:rPr>
                <w:rFonts w:ascii="Times New Roman" w:hAnsi="Times New Roman"/>
                <w:color w:val="000000" w:themeColor="text1"/>
                <w:sz w:val="24"/>
                <w:szCs w:val="24"/>
              </w:rPr>
            </w:pPr>
            <w:r w:rsidRPr="00C766C5">
              <w:rPr>
                <w:rFonts w:ascii="Times New Roman" w:hAnsi="Times New Roman"/>
                <w:color w:val="000000" w:themeColor="text1"/>
                <w:sz w:val="24"/>
                <w:szCs w:val="24"/>
              </w:rPr>
              <w:t>Avicultura de Postura</w:t>
            </w:r>
          </w:p>
        </w:tc>
        <w:tc>
          <w:tcPr>
            <w:tcW w:w="1110" w:type="dxa"/>
            <w:tcBorders>
              <w:top w:val="nil"/>
              <w:left w:val="nil"/>
              <w:bottom w:val="nil"/>
              <w:right w:val="nil"/>
            </w:tcBorders>
            <w:vAlign w:val="center"/>
          </w:tcPr>
          <w:p w14:paraId="4D124BD8"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126,1</w:t>
            </w:r>
          </w:p>
        </w:tc>
        <w:tc>
          <w:tcPr>
            <w:tcW w:w="1110" w:type="dxa"/>
            <w:tcBorders>
              <w:top w:val="nil"/>
              <w:left w:val="nil"/>
              <w:bottom w:val="nil"/>
              <w:right w:val="nil"/>
            </w:tcBorders>
            <w:vAlign w:val="center"/>
          </w:tcPr>
          <w:p w14:paraId="51F48D7C"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21,5</w:t>
            </w:r>
          </w:p>
        </w:tc>
        <w:tc>
          <w:tcPr>
            <w:tcW w:w="1111" w:type="dxa"/>
            <w:tcBorders>
              <w:top w:val="nil"/>
              <w:left w:val="nil"/>
              <w:bottom w:val="nil"/>
              <w:right w:val="nil"/>
            </w:tcBorders>
            <w:vAlign w:val="center"/>
          </w:tcPr>
          <w:p w14:paraId="2DE4BD18"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17,0</w:t>
            </w:r>
          </w:p>
        </w:tc>
        <w:tc>
          <w:tcPr>
            <w:tcW w:w="1110" w:type="dxa"/>
            <w:tcBorders>
              <w:top w:val="nil"/>
              <w:left w:val="nil"/>
              <w:bottom w:val="nil"/>
              <w:right w:val="nil"/>
            </w:tcBorders>
            <w:vAlign w:val="center"/>
          </w:tcPr>
          <w:p w14:paraId="3B36FC8A"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4,66</w:t>
            </w:r>
          </w:p>
        </w:tc>
        <w:tc>
          <w:tcPr>
            <w:tcW w:w="1110" w:type="dxa"/>
            <w:tcBorders>
              <w:top w:val="nil"/>
              <w:left w:val="nil"/>
              <w:bottom w:val="nil"/>
              <w:right w:val="nil"/>
            </w:tcBorders>
            <w:vAlign w:val="center"/>
          </w:tcPr>
          <w:p w14:paraId="47830429"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0,94</w:t>
            </w:r>
          </w:p>
        </w:tc>
        <w:tc>
          <w:tcPr>
            <w:tcW w:w="1111" w:type="dxa"/>
            <w:tcBorders>
              <w:top w:val="nil"/>
              <w:left w:val="nil"/>
              <w:bottom w:val="nil"/>
              <w:right w:val="nil"/>
            </w:tcBorders>
            <w:vAlign w:val="center"/>
          </w:tcPr>
          <w:p w14:paraId="0843846C"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0,00***</w:t>
            </w:r>
          </w:p>
        </w:tc>
      </w:tr>
      <w:tr w:rsidR="00F237BC" w:rsidRPr="00C766C5" w14:paraId="32EC9360" w14:textId="77777777" w:rsidTr="00F237BC">
        <w:trPr>
          <w:trHeight w:val="273"/>
          <w:jc w:val="center"/>
        </w:trPr>
        <w:tc>
          <w:tcPr>
            <w:tcW w:w="2552" w:type="dxa"/>
            <w:tcBorders>
              <w:top w:val="nil"/>
              <w:left w:val="nil"/>
              <w:bottom w:val="nil"/>
              <w:right w:val="nil"/>
            </w:tcBorders>
            <w:vAlign w:val="center"/>
          </w:tcPr>
          <w:p w14:paraId="0DAC0CAF" w14:textId="77777777" w:rsidR="00F237BC" w:rsidRPr="00C766C5" w:rsidRDefault="00F237BC" w:rsidP="00F237BC">
            <w:pPr>
              <w:rPr>
                <w:rFonts w:ascii="Times New Roman" w:hAnsi="Times New Roman"/>
                <w:color w:val="000000" w:themeColor="text1"/>
                <w:sz w:val="24"/>
                <w:szCs w:val="24"/>
              </w:rPr>
            </w:pPr>
            <w:r w:rsidRPr="00C766C5">
              <w:rPr>
                <w:rFonts w:ascii="Times New Roman" w:hAnsi="Times New Roman"/>
                <w:color w:val="000000" w:themeColor="text1"/>
                <w:sz w:val="24"/>
                <w:szCs w:val="24"/>
              </w:rPr>
              <w:t>Tomate</w:t>
            </w:r>
          </w:p>
        </w:tc>
        <w:tc>
          <w:tcPr>
            <w:tcW w:w="1110" w:type="dxa"/>
            <w:tcBorders>
              <w:top w:val="nil"/>
              <w:left w:val="nil"/>
              <w:bottom w:val="nil"/>
              <w:right w:val="nil"/>
            </w:tcBorders>
            <w:vAlign w:val="center"/>
          </w:tcPr>
          <w:p w14:paraId="1C6F4921"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109,2</w:t>
            </w:r>
          </w:p>
        </w:tc>
        <w:tc>
          <w:tcPr>
            <w:tcW w:w="1110" w:type="dxa"/>
            <w:tcBorders>
              <w:top w:val="nil"/>
              <w:left w:val="nil"/>
              <w:bottom w:val="nil"/>
              <w:right w:val="nil"/>
            </w:tcBorders>
            <w:vAlign w:val="center"/>
          </w:tcPr>
          <w:p w14:paraId="74552943"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8,7</w:t>
            </w:r>
          </w:p>
        </w:tc>
        <w:tc>
          <w:tcPr>
            <w:tcW w:w="1111" w:type="dxa"/>
            <w:tcBorders>
              <w:top w:val="nil"/>
              <w:left w:val="nil"/>
              <w:bottom w:val="nil"/>
              <w:right w:val="nil"/>
            </w:tcBorders>
            <w:vAlign w:val="center"/>
          </w:tcPr>
          <w:p w14:paraId="021CEAFA"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7,9</w:t>
            </w:r>
          </w:p>
        </w:tc>
        <w:tc>
          <w:tcPr>
            <w:tcW w:w="1110" w:type="dxa"/>
            <w:tcBorders>
              <w:top w:val="nil"/>
              <w:left w:val="nil"/>
              <w:bottom w:val="nil"/>
              <w:right w:val="nil"/>
            </w:tcBorders>
            <w:vAlign w:val="center"/>
          </w:tcPr>
          <w:p w14:paraId="2A6F2135"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-1,10</w:t>
            </w:r>
          </w:p>
        </w:tc>
        <w:tc>
          <w:tcPr>
            <w:tcW w:w="1110" w:type="dxa"/>
            <w:tcBorders>
              <w:top w:val="nil"/>
              <w:left w:val="nil"/>
              <w:bottom w:val="nil"/>
              <w:right w:val="nil"/>
            </w:tcBorders>
            <w:vAlign w:val="center"/>
          </w:tcPr>
          <w:p w14:paraId="0459C46E"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0,32</w:t>
            </w:r>
          </w:p>
        </w:tc>
        <w:tc>
          <w:tcPr>
            <w:tcW w:w="1111" w:type="dxa"/>
            <w:tcBorders>
              <w:top w:val="nil"/>
              <w:left w:val="nil"/>
              <w:bottom w:val="nil"/>
              <w:right w:val="nil"/>
            </w:tcBorders>
            <w:vAlign w:val="center"/>
          </w:tcPr>
          <w:p w14:paraId="02D14FBC"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0,03**</w:t>
            </w:r>
          </w:p>
        </w:tc>
      </w:tr>
      <w:tr w:rsidR="00F237BC" w:rsidRPr="00C766C5" w14:paraId="6E49C0BF" w14:textId="77777777" w:rsidTr="00F237BC">
        <w:trPr>
          <w:trHeight w:val="273"/>
          <w:jc w:val="center"/>
        </w:trPr>
        <w:tc>
          <w:tcPr>
            <w:tcW w:w="2552" w:type="dxa"/>
            <w:tcBorders>
              <w:top w:val="nil"/>
              <w:left w:val="nil"/>
              <w:bottom w:val="single" w:sz="4" w:space="0" w:color="auto"/>
              <w:right w:val="nil"/>
            </w:tcBorders>
            <w:vAlign w:val="center"/>
          </w:tcPr>
          <w:p w14:paraId="38DE8692" w14:textId="77777777" w:rsidR="00F237BC" w:rsidRPr="00C766C5" w:rsidRDefault="00F237BC" w:rsidP="00F237BC">
            <w:pPr>
              <w:rPr>
                <w:rFonts w:ascii="Times New Roman" w:hAnsi="Times New Roman"/>
                <w:color w:val="000000" w:themeColor="text1"/>
                <w:sz w:val="24"/>
                <w:szCs w:val="24"/>
              </w:rPr>
            </w:pPr>
            <w:r w:rsidRPr="00C766C5">
              <w:rPr>
                <w:rFonts w:ascii="Times New Roman" w:hAnsi="Times New Roman"/>
                <w:color w:val="000000" w:themeColor="text1"/>
                <w:sz w:val="24"/>
                <w:szCs w:val="24"/>
              </w:rPr>
              <w:t>Mandioca</w:t>
            </w:r>
          </w:p>
        </w:tc>
        <w:tc>
          <w:tcPr>
            <w:tcW w:w="1110" w:type="dxa"/>
            <w:tcBorders>
              <w:top w:val="nil"/>
              <w:left w:val="nil"/>
              <w:bottom w:val="single" w:sz="4" w:space="0" w:color="auto"/>
              <w:right w:val="nil"/>
            </w:tcBorders>
            <w:vAlign w:val="center"/>
          </w:tcPr>
          <w:p w14:paraId="4BDD5E76"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76,7</w:t>
            </w:r>
          </w:p>
        </w:tc>
        <w:tc>
          <w:tcPr>
            <w:tcW w:w="1110" w:type="dxa"/>
            <w:tcBorders>
              <w:top w:val="nil"/>
              <w:left w:val="nil"/>
              <w:bottom w:val="single" w:sz="4" w:space="0" w:color="auto"/>
              <w:right w:val="nil"/>
            </w:tcBorders>
            <w:vAlign w:val="center"/>
          </w:tcPr>
          <w:p w14:paraId="067DC364"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14,9</w:t>
            </w:r>
          </w:p>
        </w:tc>
        <w:tc>
          <w:tcPr>
            <w:tcW w:w="1111" w:type="dxa"/>
            <w:tcBorders>
              <w:top w:val="nil"/>
              <w:left w:val="nil"/>
              <w:bottom w:val="single" w:sz="4" w:space="0" w:color="auto"/>
              <w:right w:val="nil"/>
            </w:tcBorders>
            <w:vAlign w:val="center"/>
          </w:tcPr>
          <w:p w14:paraId="21BD83BC"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19,4</w:t>
            </w:r>
          </w:p>
        </w:tc>
        <w:tc>
          <w:tcPr>
            <w:tcW w:w="1110" w:type="dxa"/>
            <w:tcBorders>
              <w:top w:val="nil"/>
              <w:left w:val="nil"/>
              <w:bottom w:val="single" w:sz="4" w:space="0" w:color="auto"/>
              <w:right w:val="nil"/>
            </w:tcBorders>
            <w:vAlign w:val="center"/>
          </w:tcPr>
          <w:p w14:paraId="7E7383CF"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-3,22</w:t>
            </w:r>
          </w:p>
        </w:tc>
        <w:tc>
          <w:tcPr>
            <w:tcW w:w="1110" w:type="dxa"/>
            <w:tcBorders>
              <w:top w:val="nil"/>
              <w:left w:val="nil"/>
              <w:bottom w:val="single" w:sz="4" w:space="0" w:color="auto"/>
              <w:right w:val="nil"/>
            </w:tcBorders>
            <w:vAlign w:val="center"/>
          </w:tcPr>
          <w:p w14:paraId="3094851A"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0,94</w:t>
            </w:r>
          </w:p>
        </w:tc>
        <w:tc>
          <w:tcPr>
            <w:tcW w:w="1111" w:type="dxa"/>
            <w:tcBorders>
              <w:top w:val="nil"/>
              <w:left w:val="nil"/>
              <w:bottom w:val="single" w:sz="4" w:space="0" w:color="auto"/>
              <w:right w:val="nil"/>
            </w:tcBorders>
            <w:vAlign w:val="center"/>
          </w:tcPr>
          <w:p w14:paraId="4CC2F54F"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0,00***</w:t>
            </w:r>
          </w:p>
        </w:tc>
      </w:tr>
      <w:tr w:rsidR="00F237BC" w:rsidRPr="00C766C5" w14:paraId="37352588" w14:textId="77777777" w:rsidTr="00B15EDC">
        <w:trPr>
          <w:trHeight w:val="273"/>
          <w:jc w:val="center"/>
        </w:trPr>
        <w:tc>
          <w:tcPr>
            <w:tcW w:w="2552" w:type="dxa"/>
            <w:tcBorders>
              <w:top w:val="single" w:sz="4" w:space="0" w:color="auto"/>
              <w:left w:val="nil"/>
              <w:bottom w:val="single" w:sz="4" w:space="0" w:color="auto"/>
              <w:right w:val="nil"/>
            </w:tcBorders>
            <w:shd w:val="clear" w:color="auto" w:fill="F2F2F2" w:themeFill="background1" w:themeFillShade="F2"/>
            <w:vAlign w:val="center"/>
          </w:tcPr>
          <w:p w14:paraId="1E74528E" w14:textId="77777777" w:rsidR="00F237BC" w:rsidRPr="00C766C5" w:rsidRDefault="00F237BC" w:rsidP="00F237BC">
            <w:pPr>
              <w:rPr>
                <w:rFonts w:ascii="Times New Roman" w:hAnsi="Times New Roman"/>
                <w:color w:val="000000" w:themeColor="text1"/>
                <w:sz w:val="24"/>
                <w:szCs w:val="24"/>
              </w:rPr>
            </w:pPr>
            <w:r w:rsidRPr="00C766C5">
              <w:rPr>
                <w:rFonts w:ascii="Times New Roman" w:hAnsi="Times New Roman"/>
                <w:color w:val="000000" w:themeColor="text1"/>
                <w:sz w:val="24"/>
                <w:szCs w:val="24"/>
              </w:rPr>
              <w:lastRenderedPageBreak/>
              <w:t>Não Comercializáveis</w:t>
            </w:r>
          </w:p>
        </w:tc>
        <w:tc>
          <w:tcPr>
            <w:tcW w:w="1110" w:type="dxa"/>
            <w:tcBorders>
              <w:top w:val="single" w:sz="4" w:space="0" w:color="auto"/>
              <w:left w:val="nil"/>
              <w:bottom w:val="single" w:sz="4" w:space="0" w:color="auto"/>
              <w:right w:val="nil"/>
            </w:tcBorders>
            <w:shd w:val="clear" w:color="auto" w:fill="F2F2F2" w:themeFill="background1" w:themeFillShade="F2"/>
            <w:vAlign w:val="center"/>
          </w:tcPr>
          <w:p w14:paraId="6F8FCC1A"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100,5</w:t>
            </w:r>
          </w:p>
        </w:tc>
        <w:tc>
          <w:tcPr>
            <w:tcW w:w="1110" w:type="dxa"/>
            <w:tcBorders>
              <w:top w:val="single" w:sz="4" w:space="0" w:color="auto"/>
              <w:left w:val="nil"/>
              <w:bottom w:val="single" w:sz="4" w:space="0" w:color="auto"/>
              <w:right w:val="nil"/>
            </w:tcBorders>
            <w:shd w:val="clear" w:color="auto" w:fill="F2F2F2" w:themeFill="background1" w:themeFillShade="F2"/>
            <w:vAlign w:val="center"/>
          </w:tcPr>
          <w:p w14:paraId="7A95FC53"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23,4</w:t>
            </w:r>
          </w:p>
        </w:tc>
        <w:tc>
          <w:tcPr>
            <w:tcW w:w="1111" w:type="dxa"/>
            <w:tcBorders>
              <w:top w:val="single" w:sz="4" w:space="0" w:color="auto"/>
              <w:left w:val="nil"/>
              <w:bottom w:val="single" w:sz="4" w:space="0" w:color="auto"/>
              <w:right w:val="nil"/>
            </w:tcBorders>
            <w:shd w:val="clear" w:color="auto" w:fill="F2F2F2" w:themeFill="background1" w:themeFillShade="F2"/>
            <w:vAlign w:val="center"/>
          </w:tcPr>
          <w:p w14:paraId="66FDF828" w14:textId="77777777" w:rsidR="00F237BC" w:rsidRPr="00C766C5" w:rsidRDefault="00F237BC" w:rsidP="00F237BC">
            <w:pPr>
              <w:jc w:val="center"/>
              <w:rPr>
                <w:rFonts w:ascii="Times New Roman" w:hAnsi="Times New Roman"/>
                <w:color w:val="000000" w:themeColor="text1"/>
                <w:sz w:val="24"/>
                <w:szCs w:val="24"/>
              </w:rPr>
            </w:pPr>
            <w:r w:rsidRPr="00C766C5">
              <w:rPr>
                <w:rFonts w:ascii="Times New Roman" w:hAnsi="Times New Roman"/>
                <w:color w:val="000000" w:themeColor="text1"/>
                <w:sz w:val="24"/>
                <w:szCs w:val="24"/>
              </w:rPr>
              <w:t>23,2</w:t>
            </w:r>
          </w:p>
        </w:tc>
        <w:tc>
          <w:tcPr>
            <w:tcW w:w="1110" w:type="dxa"/>
            <w:tcBorders>
              <w:top w:val="single" w:sz="4" w:space="0" w:color="auto"/>
              <w:left w:val="nil"/>
              <w:bottom w:val="single" w:sz="4" w:space="0" w:color="auto"/>
              <w:right w:val="nil"/>
            </w:tcBorders>
            <w:shd w:val="clear" w:color="auto" w:fill="F2F2F2" w:themeFill="background1" w:themeFillShade="F2"/>
            <w:vAlign w:val="center"/>
          </w:tcPr>
          <w:p w14:paraId="3826080C" w14:textId="77777777" w:rsidR="00F237BC" w:rsidRPr="00C766C5" w:rsidRDefault="00F237BC" w:rsidP="00F237BC">
            <w:pPr>
              <w:jc w:val="center"/>
              <w:rPr>
                <w:rFonts w:ascii="Times New Roman" w:hAnsi="Times New Roman"/>
                <w:color w:val="000000" w:themeColor="text1"/>
                <w:sz w:val="24"/>
                <w:szCs w:val="24"/>
              </w:rPr>
            </w:pPr>
          </w:p>
        </w:tc>
        <w:tc>
          <w:tcPr>
            <w:tcW w:w="1110" w:type="dxa"/>
            <w:tcBorders>
              <w:top w:val="single" w:sz="4" w:space="0" w:color="auto"/>
              <w:left w:val="nil"/>
              <w:bottom w:val="single" w:sz="4" w:space="0" w:color="auto"/>
              <w:right w:val="nil"/>
            </w:tcBorders>
            <w:shd w:val="clear" w:color="auto" w:fill="F2F2F2" w:themeFill="background1" w:themeFillShade="F2"/>
            <w:vAlign w:val="center"/>
          </w:tcPr>
          <w:p w14:paraId="260F9552" w14:textId="77777777" w:rsidR="00F237BC" w:rsidRPr="00C766C5" w:rsidRDefault="00F237BC" w:rsidP="00F237BC">
            <w:pPr>
              <w:jc w:val="center"/>
              <w:rPr>
                <w:rFonts w:ascii="Times New Roman" w:hAnsi="Times New Roman"/>
                <w:color w:val="000000" w:themeColor="text1"/>
                <w:sz w:val="24"/>
                <w:szCs w:val="24"/>
              </w:rPr>
            </w:pPr>
          </w:p>
        </w:tc>
        <w:tc>
          <w:tcPr>
            <w:tcW w:w="1111" w:type="dxa"/>
            <w:tcBorders>
              <w:top w:val="single" w:sz="4" w:space="0" w:color="auto"/>
              <w:left w:val="nil"/>
              <w:bottom w:val="single" w:sz="4" w:space="0" w:color="auto"/>
              <w:right w:val="nil"/>
            </w:tcBorders>
            <w:shd w:val="clear" w:color="auto" w:fill="F2F2F2" w:themeFill="background1" w:themeFillShade="F2"/>
            <w:vAlign w:val="center"/>
          </w:tcPr>
          <w:p w14:paraId="3EE01FEA" w14:textId="77777777" w:rsidR="00F237BC" w:rsidRPr="00C766C5" w:rsidRDefault="00F237BC" w:rsidP="00F237BC">
            <w:pPr>
              <w:jc w:val="center"/>
              <w:rPr>
                <w:rFonts w:ascii="Times New Roman" w:hAnsi="Times New Roman"/>
                <w:color w:val="000000" w:themeColor="text1"/>
                <w:sz w:val="24"/>
                <w:szCs w:val="24"/>
              </w:rPr>
            </w:pPr>
          </w:p>
        </w:tc>
      </w:tr>
    </w:tbl>
    <w:bookmarkEnd w:id="6"/>
    <w:p w14:paraId="0CED9DDD" w14:textId="0863A222" w:rsidR="00F237BC" w:rsidRPr="00F237BC" w:rsidRDefault="00F237BC" w:rsidP="00F237BC">
      <w:pPr>
        <w:spacing w:after="0" w:line="240" w:lineRule="auto"/>
        <w:jc w:val="both"/>
        <w:textAlignment w:val="baseline"/>
        <w:rPr>
          <w:rFonts w:ascii="Times New Roman" w:eastAsia="Times New Roman" w:hAnsi="Times New Roman" w:cs="Times New Roman"/>
          <w:bCs/>
          <w:color w:val="000000" w:themeColor="text1"/>
          <w:sz w:val="24"/>
          <w:szCs w:val="24"/>
          <w:shd w:val="clear" w:color="auto" w:fill="FFFFFF"/>
        </w:rPr>
      </w:pPr>
      <w:r w:rsidRPr="00185866">
        <w:rPr>
          <w:rFonts w:ascii="Times New Roman" w:eastAsia="Times New Roman" w:hAnsi="Times New Roman" w:cs="Times New Roman"/>
          <w:b/>
          <w:color w:val="000000" w:themeColor="text1"/>
          <w:sz w:val="24"/>
          <w:szCs w:val="24"/>
          <w:shd w:val="clear" w:color="auto" w:fill="FFFFFF"/>
        </w:rPr>
        <w:t>Fonte</w:t>
      </w:r>
      <w:r w:rsidRPr="00F237BC">
        <w:rPr>
          <w:rFonts w:ascii="Times New Roman" w:eastAsia="Times New Roman" w:hAnsi="Times New Roman" w:cs="Times New Roman"/>
          <w:bCs/>
          <w:color w:val="000000" w:themeColor="text1"/>
          <w:sz w:val="24"/>
          <w:szCs w:val="24"/>
          <w:shd w:val="clear" w:color="auto" w:fill="FFFFFF"/>
        </w:rPr>
        <w:t xml:space="preserve">: </w:t>
      </w:r>
      <w:r w:rsidR="00814DD5" w:rsidRPr="001E7476">
        <w:rPr>
          <w:rFonts w:ascii="Times New Roman" w:eastAsia="Times New Roman" w:hAnsi="Times New Roman" w:cs="Times New Roman"/>
          <w:bCs/>
          <w:color w:val="000000" w:themeColor="text1"/>
          <w:sz w:val="24"/>
          <w:szCs w:val="24"/>
          <w:shd w:val="clear" w:color="auto" w:fill="FFFFFF"/>
        </w:rPr>
        <w:t xml:space="preserve">BRASIL </w:t>
      </w:r>
      <w:r w:rsidR="00814DD5" w:rsidRPr="008B1EDC">
        <w:rPr>
          <w:rFonts w:ascii="Times New Roman" w:eastAsia="Times New Roman" w:hAnsi="Times New Roman" w:cs="Times New Roman"/>
          <w:bCs/>
          <w:color w:val="000000" w:themeColor="text1"/>
          <w:sz w:val="24"/>
          <w:szCs w:val="24"/>
          <w:shd w:val="clear" w:color="auto" w:fill="FFFFFF"/>
        </w:rPr>
        <w:t>(2022)</w:t>
      </w:r>
      <w:r w:rsidR="00814DD5">
        <w:rPr>
          <w:rFonts w:ascii="Times New Roman" w:eastAsia="Times New Roman" w:hAnsi="Times New Roman" w:cs="Times New Roman"/>
          <w:bCs/>
          <w:color w:val="000000" w:themeColor="text1"/>
          <w:sz w:val="24"/>
          <w:szCs w:val="24"/>
          <w:shd w:val="clear" w:color="auto" w:fill="FFFFFF"/>
        </w:rPr>
        <w:t>;</w:t>
      </w:r>
      <w:r w:rsidR="00814DD5" w:rsidRPr="001E7476">
        <w:rPr>
          <w:rFonts w:ascii="Times New Roman" w:eastAsia="Times New Roman" w:hAnsi="Times New Roman" w:cs="Times New Roman"/>
          <w:bCs/>
          <w:color w:val="000000" w:themeColor="text1"/>
          <w:sz w:val="24"/>
          <w:szCs w:val="24"/>
          <w:shd w:val="clear" w:color="auto" w:fill="FFFFFF"/>
        </w:rPr>
        <w:t xml:space="preserve"> </w:t>
      </w:r>
      <w:r w:rsidRPr="00814DD5">
        <w:rPr>
          <w:rFonts w:ascii="Times New Roman" w:eastAsia="Times New Roman" w:hAnsi="Times New Roman" w:cs="Times New Roman"/>
          <w:bCs/>
          <w:color w:val="000000" w:themeColor="text1"/>
          <w:sz w:val="24"/>
          <w:szCs w:val="24"/>
          <w:shd w:val="clear" w:color="auto" w:fill="FFFFFF"/>
        </w:rPr>
        <w:t>IBGE (diversas publicações)</w:t>
      </w:r>
      <w:r w:rsidRPr="00F237BC">
        <w:rPr>
          <w:rFonts w:ascii="Times New Roman" w:eastAsia="Times New Roman" w:hAnsi="Times New Roman" w:cs="Times New Roman"/>
          <w:bCs/>
          <w:color w:val="000000" w:themeColor="text1"/>
          <w:sz w:val="24"/>
          <w:szCs w:val="24"/>
          <w:shd w:val="clear" w:color="auto" w:fill="FFFFFF"/>
        </w:rPr>
        <w:t>. ***Significativo ao nível de 1%; **Significativo ao nível de 5%; *Significativo ao nível de 10%. DP = desvio padrão. CV = coeficiente de variação. CA = coeficiente angular.</w:t>
      </w:r>
    </w:p>
    <w:p w14:paraId="12CDD764" w14:textId="0775C2E3" w:rsidR="00F237BC" w:rsidRPr="007B17E3" w:rsidRDefault="00F237BC" w:rsidP="00F237BC">
      <w:pPr>
        <w:pStyle w:val="NormalWeb"/>
        <w:shd w:val="clear" w:color="auto" w:fill="FFFFFF"/>
        <w:spacing w:before="0" w:after="0"/>
        <w:ind w:firstLine="708"/>
        <w:jc w:val="both"/>
        <w:textAlignment w:val="baseline"/>
        <w:rPr>
          <w:bCs/>
          <w:color w:val="000000" w:themeColor="text1"/>
          <w:szCs w:val="24"/>
          <w:shd w:val="clear" w:color="auto" w:fill="FFFFFF"/>
        </w:rPr>
      </w:pPr>
      <w:r>
        <w:rPr>
          <w:bCs/>
          <w:color w:val="000000" w:themeColor="text1"/>
          <w:szCs w:val="24"/>
          <w:shd w:val="clear" w:color="auto" w:fill="FFFFFF"/>
        </w:rPr>
        <w:t>A Figura 3 contribui para melhor visualizar a variação da disponibilidade dos comercializáveis, de 2007 a 2021. Seis cadeias apresentaram tendência de crescimento da disponibilidade e outras cinco, de decréscimo. Contudo, apenas três regressões lineares</w:t>
      </w:r>
      <w:r w:rsidR="00814DD5">
        <w:rPr>
          <w:bCs/>
          <w:color w:val="000000" w:themeColor="text1"/>
          <w:szCs w:val="24"/>
          <w:shd w:val="clear" w:color="auto" w:fill="FFFFFF"/>
        </w:rPr>
        <w:t xml:space="preserve"> simples</w:t>
      </w:r>
      <w:r>
        <w:rPr>
          <w:bCs/>
          <w:color w:val="000000" w:themeColor="text1"/>
          <w:szCs w:val="24"/>
          <w:shd w:val="clear" w:color="auto" w:fill="FFFFFF"/>
        </w:rPr>
        <w:t xml:space="preserve"> registraram R</w:t>
      </w:r>
      <w:r w:rsidRPr="00A2354A">
        <w:rPr>
          <w:bCs/>
          <w:color w:val="000000" w:themeColor="text1"/>
          <w:szCs w:val="24"/>
          <w:shd w:val="clear" w:color="auto" w:fill="FFFFFF"/>
          <w:vertAlign w:val="superscript"/>
        </w:rPr>
        <w:t>2</w:t>
      </w:r>
      <w:r>
        <w:rPr>
          <w:bCs/>
          <w:color w:val="000000" w:themeColor="text1"/>
          <w:szCs w:val="24"/>
          <w:shd w:val="clear" w:color="auto" w:fill="FFFFFF"/>
        </w:rPr>
        <w:t xml:space="preserve"> alto ou mediano e com significância estatística ao nível de 1%. Nes</w:t>
      </w:r>
      <w:r w:rsidR="00814DD5">
        <w:rPr>
          <w:bCs/>
          <w:color w:val="000000" w:themeColor="text1"/>
          <w:szCs w:val="24"/>
          <w:shd w:val="clear" w:color="auto" w:fill="FFFFFF"/>
        </w:rPr>
        <w:t>s</w:t>
      </w:r>
      <w:r>
        <w:rPr>
          <w:bCs/>
          <w:color w:val="000000" w:themeColor="text1"/>
          <w:szCs w:val="24"/>
          <w:shd w:val="clear" w:color="auto" w:fill="FFFFFF"/>
        </w:rPr>
        <w:t>es casos, para avicultura de corte, suinocultura e</w:t>
      </w:r>
      <w:r w:rsidRPr="00E428BA">
        <w:rPr>
          <w:bCs/>
          <w:color w:val="000000" w:themeColor="text1"/>
          <w:szCs w:val="24"/>
          <w:shd w:val="clear" w:color="auto" w:fill="FFFFFF"/>
        </w:rPr>
        <w:t xml:space="preserve"> </w:t>
      </w:r>
      <w:r>
        <w:rPr>
          <w:bCs/>
          <w:color w:val="000000" w:themeColor="text1"/>
          <w:szCs w:val="24"/>
          <w:shd w:val="clear" w:color="auto" w:fill="FFFFFF"/>
        </w:rPr>
        <w:t>milho, pode-se dizer que a disponibilidade interna apresentou nítida e significativa tendência de crescimento, entre 2007 e 2021. Além disto, observou-se alta disponibilidade média nestas três cadeias e baixos valores de coeficiente de variação. No café, a disponibilidade média também foi alta, mas com coeficiente de variação de 30,1%.</w:t>
      </w:r>
    </w:p>
    <w:p w14:paraId="1D8A4B3F" w14:textId="37580714" w:rsidR="00F237BC" w:rsidRDefault="00F237BC" w:rsidP="00F237BC">
      <w:pPr>
        <w:spacing w:after="0" w:line="240" w:lineRule="auto"/>
        <w:jc w:val="both"/>
        <w:textAlignment w:val="baseline"/>
        <w:rPr>
          <w:rFonts w:ascii="Times New Roman" w:eastAsia="Times New Roman" w:hAnsi="Times New Roman" w:cs="Times New Roman"/>
          <w:bCs/>
          <w:color w:val="000000" w:themeColor="text1"/>
          <w:sz w:val="24"/>
          <w:szCs w:val="24"/>
          <w:shd w:val="clear" w:color="auto" w:fill="FFFFFF"/>
        </w:rPr>
      </w:pPr>
      <w:r w:rsidRPr="00185866">
        <w:rPr>
          <w:rFonts w:ascii="Times New Roman" w:eastAsia="Times New Roman" w:hAnsi="Times New Roman" w:cs="Times New Roman"/>
          <w:b/>
          <w:color w:val="000000" w:themeColor="text1"/>
          <w:sz w:val="24"/>
          <w:szCs w:val="24"/>
          <w:shd w:val="clear" w:color="auto" w:fill="FFFFFF"/>
        </w:rPr>
        <w:t>Figura 3</w:t>
      </w:r>
      <w:r w:rsidRPr="00F237BC">
        <w:rPr>
          <w:rFonts w:ascii="Times New Roman" w:eastAsia="Times New Roman" w:hAnsi="Times New Roman" w:cs="Times New Roman"/>
          <w:bCs/>
          <w:color w:val="000000" w:themeColor="text1"/>
          <w:sz w:val="24"/>
          <w:szCs w:val="24"/>
          <w:shd w:val="clear" w:color="auto" w:fill="FFFFFF"/>
        </w:rPr>
        <w:t xml:space="preserve">. Disponibilidade interna </w:t>
      </w:r>
      <w:r w:rsidRPr="0068174A">
        <w:rPr>
          <w:rFonts w:ascii="Times New Roman" w:eastAsia="Times New Roman" w:hAnsi="Times New Roman" w:cs="Times New Roman"/>
          <w:bCs/>
          <w:i/>
          <w:iCs/>
          <w:color w:val="000000" w:themeColor="text1"/>
          <w:sz w:val="24"/>
          <w:szCs w:val="24"/>
          <w:shd w:val="clear" w:color="auto" w:fill="FFFFFF"/>
        </w:rPr>
        <w:t>per capita</w:t>
      </w:r>
      <w:r w:rsidRPr="00F237BC">
        <w:rPr>
          <w:rFonts w:ascii="Times New Roman" w:eastAsia="Times New Roman" w:hAnsi="Times New Roman" w:cs="Times New Roman"/>
          <w:bCs/>
          <w:color w:val="000000" w:themeColor="text1"/>
          <w:sz w:val="24"/>
          <w:szCs w:val="24"/>
          <w:shd w:val="clear" w:color="auto" w:fill="FFFFFF"/>
        </w:rPr>
        <w:t xml:space="preserve"> dos comercializáveis, expressas como índice 100 (base ano 2007), Brasil, 2007 a 2021.</w:t>
      </w:r>
    </w:p>
    <w:p w14:paraId="4714660D" w14:textId="36C787D3" w:rsidR="00B15EDC" w:rsidRPr="00F237BC" w:rsidRDefault="00814DD5" w:rsidP="00F237BC">
      <w:pPr>
        <w:spacing w:after="0" w:line="240" w:lineRule="auto"/>
        <w:jc w:val="both"/>
        <w:textAlignment w:val="baseline"/>
        <w:rPr>
          <w:rFonts w:ascii="Times New Roman" w:eastAsia="Times New Roman" w:hAnsi="Times New Roman" w:cs="Times New Roman"/>
          <w:bCs/>
          <w:color w:val="000000" w:themeColor="text1"/>
          <w:sz w:val="24"/>
          <w:szCs w:val="24"/>
          <w:shd w:val="clear" w:color="auto" w:fill="FFFFFF"/>
        </w:rPr>
      </w:pPr>
      <w:r w:rsidRPr="00814DD5">
        <w:rPr>
          <w:rFonts w:ascii="Times New Roman" w:eastAsia="Times New Roman" w:hAnsi="Times New Roman" w:cs="Times New Roman"/>
          <w:bCs/>
          <w:noProof/>
          <w:color w:val="000000" w:themeColor="text1"/>
          <w:sz w:val="24"/>
          <w:szCs w:val="24"/>
          <w:shd w:val="clear" w:color="auto" w:fill="FFFFFF"/>
        </w:rPr>
        <w:drawing>
          <wp:inline distT="0" distB="0" distL="0" distR="0" wp14:anchorId="1FB269CB" wp14:editId="7138CAFF">
            <wp:extent cx="5759450" cy="3708400"/>
            <wp:effectExtent l="0" t="0" r="0" b="6350"/>
            <wp:docPr id="1" name="Imagem 1"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Gráfico&#10;&#10;Descrição gerada automaticamente"/>
                    <pic:cNvPicPr/>
                  </pic:nvPicPr>
                  <pic:blipFill>
                    <a:blip r:embed="rId12"/>
                    <a:stretch>
                      <a:fillRect/>
                    </a:stretch>
                  </pic:blipFill>
                  <pic:spPr>
                    <a:xfrm>
                      <a:off x="0" y="0"/>
                      <a:ext cx="5759450" cy="3708400"/>
                    </a:xfrm>
                    <a:prstGeom prst="rect">
                      <a:avLst/>
                    </a:prstGeom>
                  </pic:spPr>
                </pic:pic>
              </a:graphicData>
            </a:graphic>
          </wp:inline>
        </w:drawing>
      </w:r>
    </w:p>
    <w:p w14:paraId="5D757378" w14:textId="4BC24127" w:rsidR="00F237BC" w:rsidRPr="00F237BC" w:rsidRDefault="00F237BC" w:rsidP="00F237BC">
      <w:pPr>
        <w:pStyle w:val="NormalWeb"/>
        <w:shd w:val="clear" w:color="auto" w:fill="FFFFFF"/>
        <w:spacing w:before="0" w:after="0"/>
        <w:jc w:val="both"/>
        <w:textAlignment w:val="baseline"/>
        <w:rPr>
          <w:bCs/>
          <w:color w:val="000000" w:themeColor="text1"/>
          <w:szCs w:val="24"/>
          <w:shd w:val="clear" w:color="auto" w:fill="FFFFFF"/>
        </w:rPr>
      </w:pPr>
      <w:r w:rsidRPr="00185866">
        <w:rPr>
          <w:b/>
          <w:color w:val="000000" w:themeColor="text1"/>
          <w:szCs w:val="24"/>
          <w:shd w:val="clear" w:color="auto" w:fill="FFFFFF"/>
        </w:rPr>
        <w:t>Fonte</w:t>
      </w:r>
      <w:r w:rsidRPr="00F237BC">
        <w:rPr>
          <w:bCs/>
          <w:color w:val="000000" w:themeColor="text1"/>
          <w:szCs w:val="24"/>
          <w:shd w:val="clear" w:color="auto" w:fill="FFFFFF"/>
        </w:rPr>
        <w:t xml:space="preserve">: </w:t>
      </w:r>
      <w:r w:rsidR="00814DD5" w:rsidRPr="001E7476">
        <w:rPr>
          <w:bCs/>
          <w:color w:val="000000" w:themeColor="text1"/>
          <w:szCs w:val="24"/>
          <w:shd w:val="clear" w:color="auto" w:fill="FFFFFF"/>
        </w:rPr>
        <w:t xml:space="preserve">BRASIL </w:t>
      </w:r>
      <w:r w:rsidR="00814DD5" w:rsidRPr="008B1EDC">
        <w:rPr>
          <w:bCs/>
          <w:color w:val="000000" w:themeColor="text1"/>
          <w:szCs w:val="24"/>
          <w:shd w:val="clear" w:color="auto" w:fill="FFFFFF"/>
        </w:rPr>
        <w:t>(2022)</w:t>
      </w:r>
      <w:r w:rsidR="00814DD5">
        <w:rPr>
          <w:bCs/>
          <w:color w:val="000000" w:themeColor="text1"/>
          <w:szCs w:val="24"/>
          <w:shd w:val="clear" w:color="auto" w:fill="FFFFFF"/>
        </w:rPr>
        <w:t>;</w:t>
      </w:r>
      <w:r w:rsidR="00814DD5" w:rsidRPr="001E7476">
        <w:rPr>
          <w:bCs/>
          <w:color w:val="000000" w:themeColor="text1"/>
          <w:szCs w:val="24"/>
          <w:shd w:val="clear" w:color="auto" w:fill="FFFFFF"/>
        </w:rPr>
        <w:t xml:space="preserve"> </w:t>
      </w:r>
      <w:r w:rsidRPr="00814DD5">
        <w:rPr>
          <w:bCs/>
          <w:color w:val="000000" w:themeColor="text1"/>
          <w:szCs w:val="24"/>
          <w:shd w:val="clear" w:color="auto" w:fill="FFFFFF"/>
        </w:rPr>
        <w:t>IBGE (diversas publicações).</w:t>
      </w:r>
    </w:p>
    <w:p w14:paraId="7DDBBCA6" w14:textId="1EC0CAA6" w:rsidR="00F237BC" w:rsidRDefault="00F237BC" w:rsidP="00F237BC">
      <w:pPr>
        <w:pStyle w:val="NormalWeb"/>
        <w:shd w:val="clear" w:color="auto" w:fill="FFFFFF"/>
        <w:spacing w:before="0" w:after="0"/>
        <w:ind w:firstLine="708"/>
        <w:jc w:val="both"/>
        <w:textAlignment w:val="baseline"/>
        <w:rPr>
          <w:bCs/>
          <w:color w:val="000000" w:themeColor="text1"/>
          <w:szCs w:val="24"/>
          <w:shd w:val="clear" w:color="auto" w:fill="FFFFFF"/>
        </w:rPr>
      </w:pPr>
      <w:r>
        <w:rPr>
          <w:bCs/>
          <w:color w:val="000000" w:themeColor="text1"/>
          <w:szCs w:val="24"/>
          <w:shd w:val="clear" w:color="auto" w:fill="FFFFFF"/>
        </w:rPr>
        <w:t>O grupo dos medianamente comercializáveis apresentou os menores valores de desvio padrão e coeficiente de variação dentre os três agrupamentos. Especificamente, arroz e feijão apresentaram disponibilidade média abaixo do valor do ano inicial, na batata esses dois valores foram, praticamente, iguais e na bovinocultura de leite</w:t>
      </w:r>
      <w:r w:rsidR="00814DD5">
        <w:rPr>
          <w:bCs/>
          <w:color w:val="000000" w:themeColor="text1"/>
          <w:szCs w:val="24"/>
          <w:shd w:val="clear" w:color="auto" w:fill="FFFFFF"/>
        </w:rPr>
        <w:t>,</w:t>
      </w:r>
      <w:r>
        <w:rPr>
          <w:bCs/>
          <w:color w:val="000000" w:themeColor="text1"/>
          <w:szCs w:val="24"/>
          <w:shd w:val="clear" w:color="auto" w:fill="FFFFFF"/>
        </w:rPr>
        <w:t xml:space="preserve"> a disponibilidade média foi bem maior. A Figura 4 mostra que três cadeias apresentaram tendência de decréscimo na disponibilidade interna, batata, arroz e feijão. Nestas duas últimas</w:t>
      </w:r>
      <w:r w:rsidR="00814DD5">
        <w:rPr>
          <w:bCs/>
          <w:color w:val="000000" w:themeColor="text1"/>
          <w:szCs w:val="24"/>
          <w:shd w:val="clear" w:color="auto" w:fill="FFFFFF"/>
        </w:rPr>
        <w:t>,</w:t>
      </w:r>
      <w:r>
        <w:rPr>
          <w:bCs/>
          <w:color w:val="000000" w:themeColor="text1"/>
          <w:szCs w:val="24"/>
          <w:shd w:val="clear" w:color="auto" w:fill="FFFFFF"/>
        </w:rPr>
        <w:t xml:space="preserve"> constatou-se significância estatística ao nível de 1%, podendo-se dizer que sua disponibilidade </w:t>
      </w:r>
      <w:r w:rsidRPr="0068174A">
        <w:rPr>
          <w:bCs/>
          <w:i/>
          <w:iCs/>
          <w:color w:val="000000" w:themeColor="text1"/>
          <w:szCs w:val="24"/>
          <w:shd w:val="clear" w:color="auto" w:fill="FFFFFF"/>
        </w:rPr>
        <w:t>per capita</w:t>
      </w:r>
      <w:r>
        <w:rPr>
          <w:bCs/>
          <w:color w:val="000000" w:themeColor="text1"/>
          <w:szCs w:val="24"/>
          <w:shd w:val="clear" w:color="auto" w:fill="FFFFFF"/>
        </w:rPr>
        <w:t xml:space="preserve"> diminuiu, mais fortemente no caso </w:t>
      </w:r>
      <w:r>
        <w:rPr>
          <w:bCs/>
          <w:color w:val="000000" w:themeColor="text1"/>
          <w:szCs w:val="24"/>
          <w:shd w:val="clear" w:color="auto" w:fill="FFFFFF"/>
        </w:rPr>
        <w:lastRenderedPageBreak/>
        <w:t>do feijão. Para a bovinocultura de leite, constatou-se também significância estatística ao nível de 1%, com a disponibilidade interna tendendo a aumentar com o tempo.</w:t>
      </w:r>
    </w:p>
    <w:p w14:paraId="0FDBAFC0" w14:textId="77777777" w:rsidR="00F237BC" w:rsidRPr="00F237BC" w:rsidRDefault="00F237BC" w:rsidP="00F237BC">
      <w:pPr>
        <w:spacing w:line="240" w:lineRule="auto"/>
        <w:jc w:val="both"/>
        <w:textAlignment w:val="baseline"/>
        <w:rPr>
          <w:rFonts w:ascii="Times New Roman" w:eastAsia="Times New Roman" w:hAnsi="Times New Roman" w:cs="Times New Roman"/>
          <w:bCs/>
          <w:color w:val="000000" w:themeColor="text1"/>
          <w:sz w:val="24"/>
          <w:szCs w:val="24"/>
          <w:shd w:val="clear" w:color="auto" w:fill="FFFFFF"/>
        </w:rPr>
      </w:pPr>
      <w:r w:rsidRPr="00185866">
        <w:rPr>
          <w:rFonts w:ascii="Times New Roman" w:eastAsia="Times New Roman" w:hAnsi="Times New Roman" w:cs="Times New Roman"/>
          <w:b/>
          <w:color w:val="000000" w:themeColor="text1"/>
          <w:sz w:val="24"/>
          <w:szCs w:val="24"/>
          <w:shd w:val="clear" w:color="auto" w:fill="FFFFFF"/>
        </w:rPr>
        <w:t>Figura 4</w:t>
      </w:r>
      <w:r w:rsidRPr="00F237BC">
        <w:rPr>
          <w:rFonts w:ascii="Times New Roman" w:eastAsia="Times New Roman" w:hAnsi="Times New Roman" w:cs="Times New Roman"/>
          <w:bCs/>
          <w:color w:val="000000" w:themeColor="text1"/>
          <w:sz w:val="24"/>
          <w:szCs w:val="24"/>
          <w:shd w:val="clear" w:color="auto" w:fill="FFFFFF"/>
        </w:rPr>
        <w:t xml:space="preserve">. Disponibilidade interna </w:t>
      </w:r>
      <w:r w:rsidRPr="0068174A">
        <w:rPr>
          <w:rFonts w:ascii="Times New Roman" w:eastAsia="Times New Roman" w:hAnsi="Times New Roman" w:cs="Times New Roman"/>
          <w:bCs/>
          <w:i/>
          <w:iCs/>
          <w:color w:val="000000" w:themeColor="text1"/>
          <w:sz w:val="24"/>
          <w:szCs w:val="24"/>
          <w:shd w:val="clear" w:color="auto" w:fill="FFFFFF"/>
        </w:rPr>
        <w:t>per capita</w:t>
      </w:r>
      <w:r w:rsidRPr="00F237BC">
        <w:rPr>
          <w:rFonts w:ascii="Times New Roman" w:eastAsia="Times New Roman" w:hAnsi="Times New Roman" w:cs="Times New Roman"/>
          <w:bCs/>
          <w:color w:val="000000" w:themeColor="text1"/>
          <w:sz w:val="24"/>
          <w:szCs w:val="24"/>
          <w:shd w:val="clear" w:color="auto" w:fill="FFFFFF"/>
        </w:rPr>
        <w:t xml:space="preserve"> dos medianamente comercializáveis, expressas como índice 100 (base ano 2007), Brasil, 2007 a 2021.</w:t>
      </w:r>
    </w:p>
    <w:p w14:paraId="79F20B23" w14:textId="77777777" w:rsidR="00F237BC" w:rsidRPr="00F237BC" w:rsidRDefault="00F237BC" w:rsidP="004C7F7B">
      <w:pPr>
        <w:spacing w:line="240" w:lineRule="auto"/>
        <w:jc w:val="center"/>
        <w:textAlignment w:val="baseline"/>
        <w:rPr>
          <w:rFonts w:ascii="Times New Roman" w:eastAsia="Times New Roman" w:hAnsi="Times New Roman" w:cs="Times New Roman"/>
          <w:bCs/>
          <w:color w:val="000000" w:themeColor="text1"/>
          <w:sz w:val="24"/>
          <w:szCs w:val="24"/>
          <w:shd w:val="clear" w:color="auto" w:fill="FFFFFF"/>
        </w:rPr>
      </w:pPr>
      <w:r w:rsidRPr="00F237BC">
        <w:rPr>
          <w:rFonts w:ascii="Times New Roman" w:eastAsia="Times New Roman" w:hAnsi="Times New Roman" w:cs="Times New Roman"/>
          <w:bCs/>
          <w:noProof/>
          <w:color w:val="000000" w:themeColor="text1"/>
          <w:sz w:val="24"/>
          <w:szCs w:val="24"/>
          <w:shd w:val="clear" w:color="auto" w:fill="FFFFFF"/>
        </w:rPr>
        <w:drawing>
          <wp:inline distT="0" distB="0" distL="0" distR="0" wp14:anchorId="2D71ADBB" wp14:editId="7455CB7B">
            <wp:extent cx="5670550" cy="3225607"/>
            <wp:effectExtent l="0" t="0" r="6350" b="0"/>
            <wp:docPr id="7" name="Imagem 7"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linhas&#10;&#10;Descrição gerada automaticamente"/>
                    <pic:cNvPicPr/>
                  </pic:nvPicPr>
                  <pic:blipFill>
                    <a:blip r:embed="rId13"/>
                    <a:stretch>
                      <a:fillRect/>
                    </a:stretch>
                  </pic:blipFill>
                  <pic:spPr>
                    <a:xfrm>
                      <a:off x="0" y="0"/>
                      <a:ext cx="5729605" cy="3259200"/>
                    </a:xfrm>
                    <a:prstGeom prst="rect">
                      <a:avLst/>
                    </a:prstGeom>
                  </pic:spPr>
                </pic:pic>
              </a:graphicData>
            </a:graphic>
          </wp:inline>
        </w:drawing>
      </w:r>
    </w:p>
    <w:p w14:paraId="55A2309E" w14:textId="78978CB0" w:rsidR="00F237BC" w:rsidRPr="00F237BC" w:rsidRDefault="00F237BC" w:rsidP="00F237BC">
      <w:pPr>
        <w:pStyle w:val="NormalWeb"/>
        <w:shd w:val="clear" w:color="auto" w:fill="FFFFFF"/>
        <w:spacing w:before="0" w:after="0"/>
        <w:jc w:val="both"/>
        <w:textAlignment w:val="baseline"/>
        <w:rPr>
          <w:bCs/>
          <w:color w:val="000000" w:themeColor="text1"/>
          <w:szCs w:val="24"/>
          <w:shd w:val="clear" w:color="auto" w:fill="FFFFFF"/>
        </w:rPr>
      </w:pPr>
      <w:r w:rsidRPr="00F237BC">
        <w:rPr>
          <w:b/>
          <w:color w:val="000000" w:themeColor="text1"/>
          <w:szCs w:val="24"/>
          <w:shd w:val="clear" w:color="auto" w:fill="FFFFFF"/>
        </w:rPr>
        <w:t>Fonte:</w:t>
      </w:r>
      <w:r w:rsidRPr="00F237BC">
        <w:rPr>
          <w:bCs/>
          <w:color w:val="000000" w:themeColor="text1"/>
          <w:szCs w:val="24"/>
          <w:shd w:val="clear" w:color="auto" w:fill="FFFFFF"/>
        </w:rPr>
        <w:t xml:space="preserve"> </w:t>
      </w:r>
      <w:r w:rsidR="00814DD5" w:rsidRPr="001E7476">
        <w:rPr>
          <w:bCs/>
          <w:color w:val="000000" w:themeColor="text1"/>
          <w:szCs w:val="24"/>
          <w:shd w:val="clear" w:color="auto" w:fill="FFFFFF"/>
        </w:rPr>
        <w:t xml:space="preserve">BRASIL </w:t>
      </w:r>
      <w:r w:rsidR="00814DD5" w:rsidRPr="008B1EDC">
        <w:rPr>
          <w:bCs/>
          <w:color w:val="000000" w:themeColor="text1"/>
          <w:szCs w:val="24"/>
          <w:shd w:val="clear" w:color="auto" w:fill="FFFFFF"/>
        </w:rPr>
        <w:t>(2022)</w:t>
      </w:r>
      <w:r w:rsidR="00814DD5">
        <w:rPr>
          <w:bCs/>
          <w:color w:val="000000" w:themeColor="text1"/>
          <w:szCs w:val="24"/>
          <w:shd w:val="clear" w:color="auto" w:fill="FFFFFF"/>
        </w:rPr>
        <w:t>;</w:t>
      </w:r>
      <w:r w:rsidR="00814DD5" w:rsidRPr="001E7476">
        <w:rPr>
          <w:bCs/>
          <w:color w:val="000000" w:themeColor="text1"/>
          <w:szCs w:val="24"/>
          <w:shd w:val="clear" w:color="auto" w:fill="FFFFFF"/>
        </w:rPr>
        <w:t xml:space="preserve"> </w:t>
      </w:r>
      <w:r w:rsidRPr="00814DD5">
        <w:rPr>
          <w:bCs/>
          <w:color w:val="000000" w:themeColor="text1"/>
          <w:szCs w:val="24"/>
          <w:shd w:val="clear" w:color="auto" w:fill="FFFFFF"/>
        </w:rPr>
        <w:t>IBGE (diversas publicações).</w:t>
      </w:r>
    </w:p>
    <w:p w14:paraId="2FB76B83" w14:textId="368CFB76" w:rsidR="00C45B7F" w:rsidRDefault="00C45B7F" w:rsidP="00C45B7F">
      <w:pPr>
        <w:pStyle w:val="NormalWeb"/>
        <w:shd w:val="clear" w:color="auto" w:fill="FFFFFF"/>
        <w:spacing w:before="0" w:after="0"/>
        <w:ind w:firstLine="708"/>
        <w:jc w:val="both"/>
        <w:textAlignment w:val="baseline"/>
        <w:rPr>
          <w:bCs/>
          <w:color w:val="000000" w:themeColor="text1"/>
          <w:szCs w:val="24"/>
          <w:shd w:val="clear" w:color="auto" w:fill="FFFFFF"/>
        </w:rPr>
      </w:pPr>
      <w:r>
        <w:rPr>
          <w:bCs/>
          <w:color w:val="000000" w:themeColor="text1"/>
          <w:szCs w:val="24"/>
          <w:shd w:val="clear" w:color="auto" w:fill="FFFFFF"/>
        </w:rPr>
        <w:t xml:space="preserve">Embora este ponto não seja tratado com mais profundidade e detalhes neste artigo, recomenda-se que outros estudos comparem a evolução da disponibilidade ou da oferta interna de alimentos com a evolução do consumo. No caso do arroz e feijão, por exemplo, pesquisas de orçamento familiar mostram que seu consumo </w:t>
      </w:r>
      <w:r w:rsidRPr="0068174A">
        <w:rPr>
          <w:bCs/>
          <w:i/>
          <w:iCs/>
          <w:color w:val="000000" w:themeColor="text1"/>
          <w:szCs w:val="24"/>
          <w:shd w:val="clear" w:color="auto" w:fill="FFFFFF"/>
        </w:rPr>
        <w:t>per capita</w:t>
      </w:r>
      <w:r>
        <w:rPr>
          <w:bCs/>
          <w:color w:val="000000" w:themeColor="text1"/>
          <w:szCs w:val="24"/>
          <w:shd w:val="clear" w:color="auto" w:fill="FFFFFF"/>
        </w:rPr>
        <w:t xml:space="preserve"> em nível domiciliar vem caindo </w:t>
      </w:r>
      <w:r w:rsidRPr="008B1EDC">
        <w:rPr>
          <w:bCs/>
          <w:color w:val="000000" w:themeColor="text1"/>
          <w:szCs w:val="24"/>
          <w:shd w:val="clear" w:color="auto" w:fill="FFFFFF"/>
        </w:rPr>
        <w:t>nas três últimas décadas no Brasil (IBGE, 2020</w:t>
      </w:r>
      <w:r w:rsidR="00B778E6" w:rsidRPr="008B1EDC">
        <w:rPr>
          <w:bCs/>
          <w:color w:val="000000" w:themeColor="text1"/>
          <w:szCs w:val="24"/>
          <w:shd w:val="clear" w:color="auto" w:fill="FFFFFF"/>
        </w:rPr>
        <w:t>a</w:t>
      </w:r>
      <w:r w:rsidRPr="008B1EDC">
        <w:rPr>
          <w:bCs/>
          <w:color w:val="000000" w:themeColor="text1"/>
          <w:szCs w:val="24"/>
          <w:shd w:val="clear" w:color="auto" w:fill="FFFFFF"/>
        </w:rPr>
        <w:t>). Talvez seja esta explicação para que, no caso</w:t>
      </w:r>
      <w:r>
        <w:rPr>
          <w:bCs/>
          <w:color w:val="000000" w:themeColor="text1"/>
          <w:szCs w:val="24"/>
          <w:shd w:val="clear" w:color="auto" w:fill="FFFFFF"/>
        </w:rPr>
        <w:t xml:space="preserve"> do arroz, mesmo com a queda da disponibilidade interna, o aumento de 130,5% em seus preços ao consumidor, entre 2007 e 2021, tenha ficado levemente abaixo do IPCA, que alcançou 134,0%. Por sua vez, a queda da disponibilidade do feijão, aparentemente, foi maior que a diminuição em seu consumo, com seus preços ao consumidor se elevando em 228,0%, bem </w:t>
      </w:r>
      <w:r w:rsidRPr="008B1EDC">
        <w:rPr>
          <w:bCs/>
          <w:color w:val="000000" w:themeColor="text1"/>
          <w:szCs w:val="24"/>
          <w:shd w:val="clear" w:color="auto" w:fill="FFFFFF"/>
        </w:rPr>
        <w:t>acima do IPCA (IBGE, 2022</w:t>
      </w:r>
      <w:r w:rsidR="008B1EDC" w:rsidRPr="008B1EDC">
        <w:rPr>
          <w:bCs/>
          <w:color w:val="000000" w:themeColor="text1"/>
          <w:szCs w:val="24"/>
          <w:shd w:val="clear" w:color="auto" w:fill="FFFFFF"/>
        </w:rPr>
        <w:t>b</w:t>
      </w:r>
      <w:r w:rsidRPr="008B1EDC">
        <w:rPr>
          <w:bCs/>
          <w:color w:val="000000" w:themeColor="text1"/>
          <w:szCs w:val="24"/>
          <w:shd w:val="clear" w:color="auto" w:fill="FFFFFF"/>
        </w:rPr>
        <w:t>). Acrescente-se que o arroz, com consumo disseminado no</w:t>
      </w:r>
      <w:r>
        <w:rPr>
          <w:bCs/>
          <w:color w:val="000000" w:themeColor="text1"/>
          <w:szCs w:val="24"/>
          <w:shd w:val="clear" w:color="auto" w:fill="FFFFFF"/>
        </w:rPr>
        <w:t xml:space="preserve"> mundo, tem mercado internacional mais expressivo que o feijão, com consumo muito concentrado no Brasil e, portanto, com abastecimento mais dependente da produção nacional.</w:t>
      </w:r>
    </w:p>
    <w:p w14:paraId="3B40CDF7" w14:textId="3AE567F6" w:rsidR="001E7476" w:rsidRDefault="00F237BC" w:rsidP="00F237BC">
      <w:pPr>
        <w:spacing w:after="0" w:line="240" w:lineRule="auto"/>
        <w:ind w:firstLine="720"/>
        <w:jc w:val="both"/>
        <w:rPr>
          <w:rFonts w:ascii="Times New Roman" w:eastAsia="Times New Roman" w:hAnsi="Times New Roman" w:cs="Times New Roman"/>
          <w:bCs/>
          <w:color w:val="000000" w:themeColor="text1"/>
          <w:sz w:val="24"/>
          <w:szCs w:val="24"/>
          <w:shd w:val="clear" w:color="auto" w:fill="FFFFFF"/>
        </w:rPr>
      </w:pPr>
      <w:r w:rsidRPr="00F237BC">
        <w:rPr>
          <w:rFonts w:ascii="Times New Roman" w:eastAsia="Times New Roman" w:hAnsi="Times New Roman" w:cs="Times New Roman"/>
          <w:bCs/>
          <w:color w:val="000000" w:themeColor="text1"/>
          <w:sz w:val="24"/>
          <w:szCs w:val="24"/>
          <w:shd w:val="clear" w:color="auto" w:fill="FFFFFF"/>
        </w:rPr>
        <w:t>Por fim, no agrupamento dos não comercializáveis todas as regressões ajustadas apresentaram significância estatística ao nível de 1% ou 5% e com R</w:t>
      </w:r>
      <w:r w:rsidRPr="00C766C5">
        <w:rPr>
          <w:rFonts w:ascii="Times New Roman" w:eastAsia="Times New Roman" w:hAnsi="Times New Roman" w:cs="Times New Roman"/>
          <w:bCs/>
          <w:color w:val="000000" w:themeColor="text1"/>
          <w:sz w:val="24"/>
          <w:szCs w:val="24"/>
          <w:shd w:val="clear" w:color="auto" w:fill="FFFFFF"/>
          <w:vertAlign w:val="superscript"/>
        </w:rPr>
        <w:t>2</w:t>
      </w:r>
      <w:r w:rsidRPr="00F237BC">
        <w:rPr>
          <w:rFonts w:ascii="Times New Roman" w:eastAsia="Times New Roman" w:hAnsi="Times New Roman" w:cs="Times New Roman"/>
          <w:bCs/>
          <w:color w:val="000000" w:themeColor="text1"/>
          <w:sz w:val="24"/>
          <w:szCs w:val="24"/>
          <w:shd w:val="clear" w:color="auto" w:fill="FFFFFF"/>
        </w:rPr>
        <w:t xml:space="preserve"> elevado na banana, avicultura de postura e mandioca. Levando em conta também a Figura 5, observa-se que a disponibilidade da avicultura de postura apresentou forte crescimento. Isto pode ter decorrido da estabilidade da disponibilidade e do grande aumento dos preços ao consumidor da carne bovina, estimulando maior consumo de produto substituto, como o ovo de galinha e, em decorrência, elevação de seu preço ao agricultor e de sua produção interna, o que está de acordo </w:t>
      </w:r>
      <w:r w:rsidRPr="008B1EDC">
        <w:rPr>
          <w:rFonts w:ascii="Times New Roman" w:eastAsia="Times New Roman" w:hAnsi="Times New Roman" w:cs="Times New Roman"/>
          <w:bCs/>
          <w:color w:val="000000" w:themeColor="text1"/>
          <w:sz w:val="24"/>
          <w:szCs w:val="24"/>
          <w:shd w:val="clear" w:color="auto" w:fill="FFFFFF"/>
        </w:rPr>
        <w:t>com a citação anterior de Maluf e Speranza (2013). Nas outras três cadeias, tomate, banana e</w:t>
      </w:r>
      <w:r w:rsidRPr="00F237BC">
        <w:rPr>
          <w:rFonts w:ascii="Times New Roman" w:eastAsia="Times New Roman" w:hAnsi="Times New Roman" w:cs="Times New Roman"/>
          <w:bCs/>
          <w:color w:val="000000" w:themeColor="text1"/>
          <w:sz w:val="24"/>
          <w:szCs w:val="24"/>
          <w:shd w:val="clear" w:color="auto" w:fill="FFFFFF"/>
        </w:rPr>
        <w:t xml:space="preserve"> mandioca, a disponibilidade interna caiu, muito acentuadamente no caso desta última. Assim </w:t>
      </w:r>
      <w:r w:rsidRPr="00F237BC">
        <w:rPr>
          <w:rFonts w:ascii="Times New Roman" w:eastAsia="Times New Roman" w:hAnsi="Times New Roman" w:cs="Times New Roman"/>
          <w:bCs/>
          <w:color w:val="000000" w:themeColor="text1"/>
          <w:sz w:val="24"/>
          <w:szCs w:val="24"/>
          <w:shd w:val="clear" w:color="auto" w:fill="FFFFFF"/>
        </w:rPr>
        <w:lastRenderedPageBreak/>
        <w:t xml:space="preserve">como no arroz e feijão, a queda da disponibilidade interna da mandioca ocorreu junto com a </w:t>
      </w:r>
      <w:r w:rsidRPr="008B1EDC">
        <w:rPr>
          <w:rFonts w:ascii="Times New Roman" w:eastAsia="Times New Roman" w:hAnsi="Times New Roman" w:cs="Times New Roman"/>
          <w:bCs/>
          <w:color w:val="000000" w:themeColor="text1"/>
          <w:sz w:val="24"/>
          <w:szCs w:val="24"/>
          <w:shd w:val="clear" w:color="auto" w:fill="FFFFFF"/>
        </w:rPr>
        <w:t>diminuição do seu consumo domiciliar (IBGE, 2020</w:t>
      </w:r>
      <w:r w:rsidR="00B778E6" w:rsidRPr="008B1EDC">
        <w:rPr>
          <w:rFonts w:ascii="Times New Roman" w:eastAsia="Times New Roman" w:hAnsi="Times New Roman" w:cs="Times New Roman"/>
          <w:bCs/>
          <w:color w:val="000000" w:themeColor="text1"/>
          <w:sz w:val="24"/>
          <w:szCs w:val="24"/>
          <w:shd w:val="clear" w:color="auto" w:fill="FFFFFF"/>
        </w:rPr>
        <w:t>a</w:t>
      </w:r>
      <w:r w:rsidRPr="008B1EDC">
        <w:rPr>
          <w:rFonts w:ascii="Times New Roman" w:eastAsia="Times New Roman" w:hAnsi="Times New Roman" w:cs="Times New Roman"/>
          <w:bCs/>
          <w:color w:val="000000" w:themeColor="text1"/>
          <w:sz w:val="24"/>
          <w:szCs w:val="24"/>
          <w:shd w:val="clear" w:color="auto" w:fill="FFFFFF"/>
        </w:rPr>
        <w:t>).</w:t>
      </w:r>
    </w:p>
    <w:p w14:paraId="177CC9F0" w14:textId="77777777" w:rsidR="00F237BC" w:rsidRPr="00F237BC" w:rsidRDefault="00F237BC" w:rsidP="00F237BC">
      <w:pPr>
        <w:spacing w:line="240" w:lineRule="auto"/>
        <w:jc w:val="both"/>
        <w:textAlignment w:val="baseline"/>
        <w:rPr>
          <w:rFonts w:ascii="Times New Roman" w:eastAsia="Times New Roman" w:hAnsi="Times New Roman" w:cs="Times New Roman"/>
          <w:bCs/>
          <w:color w:val="000000" w:themeColor="text1"/>
          <w:sz w:val="24"/>
          <w:szCs w:val="24"/>
          <w:shd w:val="clear" w:color="auto" w:fill="FFFFFF"/>
        </w:rPr>
      </w:pPr>
      <w:r w:rsidRPr="00185866">
        <w:rPr>
          <w:rFonts w:ascii="Times New Roman" w:eastAsia="Times New Roman" w:hAnsi="Times New Roman" w:cs="Times New Roman"/>
          <w:b/>
          <w:color w:val="000000" w:themeColor="text1"/>
          <w:sz w:val="24"/>
          <w:szCs w:val="24"/>
          <w:shd w:val="clear" w:color="auto" w:fill="FFFFFF"/>
        </w:rPr>
        <w:t>Figura 5</w:t>
      </w:r>
      <w:r w:rsidRPr="00F237BC">
        <w:rPr>
          <w:rFonts w:ascii="Times New Roman" w:eastAsia="Times New Roman" w:hAnsi="Times New Roman" w:cs="Times New Roman"/>
          <w:bCs/>
          <w:color w:val="000000" w:themeColor="text1"/>
          <w:sz w:val="24"/>
          <w:szCs w:val="24"/>
          <w:shd w:val="clear" w:color="auto" w:fill="FFFFFF"/>
        </w:rPr>
        <w:t xml:space="preserve">. Disponibilidade interna </w:t>
      </w:r>
      <w:r w:rsidRPr="0068174A">
        <w:rPr>
          <w:rFonts w:ascii="Times New Roman" w:eastAsia="Times New Roman" w:hAnsi="Times New Roman" w:cs="Times New Roman"/>
          <w:bCs/>
          <w:i/>
          <w:iCs/>
          <w:color w:val="000000" w:themeColor="text1"/>
          <w:sz w:val="24"/>
          <w:szCs w:val="24"/>
          <w:shd w:val="clear" w:color="auto" w:fill="FFFFFF"/>
        </w:rPr>
        <w:t>per capita</w:t>
      </w:r>
      <w:r w:rsidRPr="00F237BC">
        <w:rPr>
          <w:rFonts w:ascii="Times New Roman" w:eastAsia="Times New Roman" w:hAnsi="Times New Roman" w:cs="Times New Roman"/>
          <w:bCs/>
          <w:color w:val="000000" w:themeColor="text1"/>
          <w:sz w:val="24"/>
          <w:szCs w:val="24"/>
          <w:shd w:val="clear" w:color="auto" w:fill="FFFFFF"/>
        </w:rPr>
        <w:t xml:space="preserve"> dos não comercializáveis, expressas como índice 100 (base ano 2007), Brasil, 2007 e 2021.</w:t>
      </w:r>
    </w:p>
    <w:p w14:paraId="295BC9BD" w14:textId="77777777" w:rsidR="00F237BC" w:rsidRPr="00F237BC" w:rsidRDefault="00F237BC" w:rsidP="004C7F7B">
      <w:pPr>
        <w:spacing w:line="240" w:lineRule="auto"/>
        <w:jc w:val="center"/>
        <w:textAlignment w:val="baseline"/>
        <w:rPr>
          <w:rFonts w:ascii="Times New Roman" w:eastAsia="Times New Roman" w:hAnsi="Times New Roman" w:cs="Times New Roman"/>
          <w:bCs/>
          <w:color w:val="000000" w:themeColor="text1"/>
          <w:sz w:val="24"/>
          <w:szCs w:val="24"/>
          <w:shd w:val="clear" w:color="auto" w:fill="FFFFFF"/>
        </w:rPr>
      </w:pPr>
      <w:r w:rsidRPr="00F237BC">
        <w:rPr>
          <w:rFonts w:ascii="Times New Roman" w:eastAsia="Times New Roman" w:hAnsi="Times New Roman" w:cs="Times New Roman"/>
          <w:bCs/>
          <w:noProof/>
          <w:color w:val="000000" w:themeColor="text1"/>
          <w:sz w:val="24"/>
          <w:szCs w:val="24"/>
          <w:shd w:val="clear" w:color="auto" w:fill="FFFFFF"/>
        </w:rPr>
        <w:drawing>
          <wp:inline distT="0" distB="0" distL="0" distR="0" wp14:anchorId="3037177B" wp14:editId="34D92F83">
            <wp:extent cx="5651500" cy="3245845"/>
            <wp:effectExtent l="0" t="0" r="6350" b="0"/>
            <wp:docPr id="8" name="Imagem 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Gráfico, Gráfico de linhas&#10;&#10;Descrição gerada automaticamente"/>
                    <pic:cNvPicPr/>
                  </pic:nvPicPr>
                  <pic:blipFill>
                    <a:blip r:embed="rId14"/>
                    <a:stretch>
                      <a:fillRect/>
                    </a:stretch>
                  </pic:blipFill>
                  <pic:spPr>
                    <a:xfrm>
                      <a:off x="0" y="0"/>
                      <a:ext cx="5675060" cy="3259377"/>
                    </a:xfrm>
                    <a:prstGeom prst="rect">
                      <a:avLst/>
                    </a:prstGeom>
                  </pic:spPr>
                </pic:pic>
              </a:graphicData>
            </a:graphic>
          </wp:inline>
        </w:drawing>
      </w:r>
    </w:p>
    <w:p w14:paraId="4157316D" w14:textId="0DD21C24" w:rsidR="00F237BC" w:rsidRPr="00BD305C" w:rsidRDefault="00F237BC" w:rsidP="00F237BC">
      <w:pPr>
        <w:pStyle w:val="NormalWeb"/>
        <w:shd w:val="clear" w:color="auto" w:fill="FFFFFF"/>
        <w:spacing w:before="0" w:after="0"/>
        <w:jc w:val="both"/>
        <w:textAlignment w:val="baseline"/>
        <w:rPr>
          <w:bCs/>
          <w:color w:val="000000" w:themeColor="text1"/>
          <w:szCs w:val="24"/>
          <w:shd w:val="clear" w:color="auto" w:fill="FFFFFF"/>
        </w:rPr>
      </w:pPr>
      <w:r w:rsidRPr="00F23BC5">
        <w:rPr>
          <w:b/>
          <w:color w:val="000000" w:themeColor="text1"/>
          <w:szCs w:val="24"/>
          <w:shd w:val="clear" w:color="auto" w:fill="FFFFFF"/>
        </w:rPr>
        <w:t>Fonte</w:t>
      </w:r>
      <w:r w:rsidRPr="00F23BC5">
        <w:rPr>
          <w:bCs/>
          <w:color w:val="000000" w:themeColor="text1"/>
          <w:szCs w:val="24"/>
          <w:shd w:val="clear" w:color="auto" w:fill="FFFFFF"/>
        </w:rPr>
        <w:t xml:space="preserve">: </w:t>
      </w:r>
      <w:r w:rsidR="00F23BC5" w:rsidRPr="00F23BC5">
        <w:rPr>
          <w:bCs/>
          <w:color w:val="000000" w:themeColor="text1"/>
          <w:szCs w:val="24"/>
          <w:shd w:val="clear" w:color="auto" w:fill="FFFFFF"/>
        </w:rPr>
        <w:t xml:space="preserve">BRASIL (2022); </w:t>
      </w:r>
      <w:r w:rsidR="001546F3" w:rsidRPr="00F23BC5">
        <w:rPr>
          <w:bCs/>
          <w:color w:val="000000" w:themeColor="text1"/>
          <w:szCs w:val="24"/>
          <w:shd w:val="clear" w:color="auto" w:fill="FFFFFF"/>
        </w:rPr>
        <w:t>IBGE (diversas publicações).</w:t>
      </w:r>
    </w:p>
    <w:p w14:paraId="490FED4D" w14:textId="77777777" w:rsidR="00F237BC" w:rsidRPr="00F237BC" w:rsidRDefault="00F237BC" w:rsidP="00F237BC">
      <w:pPr>
        <w:pStyle w:val="NormalWeb"/>
        <w:shd w:val="clear" w:color="auto" w:fill="FFFFFF"/>
        <w:spacing w:before="0" w:after="0"/>
        <w:ind w:firstLine="708"/>
        <w:jc w:val="both"/>
        <w:textAlignment w:val="baseline"/>
        <w:rPr>
          <w:bCs/>
          <w:color w:val="000000" w:themeColor="text1"/>
          <w:szCs w:val="24"/>
          <w:shd w:val="clear" w:color="auto" w:fill="FFFFFF"/>
        </w:rPr>
      </w:pPr>
      <w:r>
        <w:rPr>
          <w:bCs/>
          <w:color w:val="000000" w:themeColor="text1"/>
          <w:szCs w:val="24"/>
          <w:shd w:val="clear" w:color="auto" w:fill="FFFFFF"/>
        </w:rPr>
        <w:t>De maneira geral, os resultados apontam que, em período de tempo relativamente extenso, os produtos com mercado externo mais expressivo, em especial os exportáveis, tendem a apresentar uma disponibilidade interna maior. Neste aspecto específico, não há como se associar a elevação da exportação de determinada cadeia a maiores debilidades no abastecimento do mercado interno.</w:t>
      </w:r>
    </w:p>
    <w:p w14:paraId="030F807D" w14:textId="77777777" w:rsidR="00F237BC" w:rsidRPr="007B17E3" w:rsidRDefault="00F237BC" w:rsidP="00F237BC">
      <w:pPr>
        <w:pStyle w:val="NormalWeb"/>
        <w:shd w:val="clear" w:color="auto" w:fill="FFFFFF"/>
        <w:spacing w:before="0" w:after="0"/>
        <w:jc w:val="both"/>
        <w:textAlignment w:val="baseline"/>
        <w:rPr>
          <w:bCs/>
          <w:color w:val="000000" w:themeColor="text1"/>
          <w:szCs w:val="24"/>
          <w:shd w:val="clear" w:color="auto" w:fill="FFFFFF"/>
        </w:rPr>
      </w:pPr>
    </w:p>
    <w:p w14:paraId="04C0E2E7" w14:textId="3FD301EC" w:rsidR="00F237BC" w:rsidRPr="006B57DC" w:rsidRDefault="00526AC8" w:rsidP="00F237BC">
      <w:pPr>
        <w:pStyle w:val="NormalWeb"/>
        <w:shd w:val="clear" w:color="auto" w:fill="FFFFFF"/>
        <w:spacing w:before="0" w:after="0"/>
        <w:jc w:val="both"/>
        <w:textAlignment w:val="baseline"/>
        <w:rPr>
          <w:b/>
          <w:color w:val="000000" w:themeColor="text1"/>
          <w:szCs w:val="24"/>
          <w:shd w:val="clear" w:color="auto" w:fill="FFFFFF"/>
        </w:rPr>
      </w:pPr>
      <w:r>
        <w:rPr>
          <w:b/>
          <w:color w:val="000000" w:themeColor="text1"/>
          <w:szCs w:val="24"/>
          <w:shd w:val="clear" w:color="auto" w:fill="FFFFFF"/>
        </w:rPr>
        <w:t>5</w:t>
      </w:r>
      <w:r w:rsidR="00F237BC" w:rsidRPr="006B57DC">
        <w:rPr>
          <w:b/>
          <w:color w:val="000000" w:themeColor="text1"/>
          <w:szCs w:val="24"/>
          <w:shd w:val="clear" w:color="auto" w:fill="FFFFFF"/>
        </w:rPr>
        <w:t xml:space="preserve">. </w:t>
      </w:r>
      <w:r w:rsidR="001546F3">
        <w:rPr>
          <w:b/>
          <w:color w:val="000000" w:themeColor="text1"/>
          <w:szCs w:val="24"/>
          <w:shd w:val="clear" w:color="auto" w:fill="FFFFFF"/>
        </w:rPr>
        <w:t>C</w:t>
      </w:r>
      <w:r w:rsidR="001546F3" w:rsidRPr="006B57DC">
        <w:rPr>
          <w:b/>
          <w:color w:val="000000" w:themeColor="text1"/>
          <w:szCs w:val="24"/>
          <w:shd w:val="clear" w:color="auto" w:fill="FFFFFF"/>
        </w:rPr>
        <w:t xml:space="preserve">onsiderações </w:t>
      </w:r>
      <w:r w:rsidR="001546F3">
        <w:rPr>
          <w:b/>
          <w:color w:val="000000" w:themeColor="text1"/>
          <w:szCs w:val="24"/>
          <w:shd w:val="clear" w:color="auto" w:fill="FFFFFF"/>
        </w:rPr>
        <w:t>F</w:t>
      </w:r>
      <w:r w:rsidR="001546F3" w:rsidRPr="006B57DC">
        <w:rPr>
          <w:b/>
          <w:color w:val="000000" w:themeColor="text1"/>
          <w:szCs w:val="24"/>
          <w:shd w:val="clear" w:color="auto" w:fill="FFFFFF"/>
        </w:rPr>
        <w:t>inais</w:t>
      </w:r>
    </w:p>
    <w:p w14:paraId="76CD60D4" w14:textId="77777777" w:rsidR="00F237BC" w:rsidRDefault="00F237BC" w:rsidP="00F237BC">
      <w:pPr>
        <w:pStyle w:val="NormalWeb"/>
        <w:shd w:val="clear" w:color="auto" w:fill="FFFFFF"/>
        <w:spacing w:before="0" w:after="0"/>
        <w:ind w:firstLine="708"/>
        <w:jc w:val="both"/>
        <w:textAlignment w:val="baseline"/>
        <w:rPr>
          <w:bCs/>
          <w:color w:val="000000" w:themeColor="text1"/>
          <w:szCs w:val="24"/>
          <w:shd w:val="clear" w:color="auto" w:fill="FFFFFF"/>
        </w:rPr>
      </w:pPr>
      <w:r>
        <w:rPr>
          <w:bCs/>
          <w:color w:val="000000" w:themeColor="text1"/>
          <w:szCs w:val="24"/>
          <w:shd w:val="clear" w:color="auto" w:fill="FFFFFF"/>
        </w:rPr>
        <w:t>O aumento recente da participação das exportações brasileiras nas exportações agrícolas mundiais, em período de preços internacionais relativamente altos, teve influência nos preços e na disponibilidade interna de alimentos de diferentes cadeias agroalimentares no Brasil. Entre 2007 e 2021, observou-se a ocorrência da inflação de alimentos no Brasil, com seus preços ficando relativamente mais altos que os demais preços ao consumidor.</w:t>
      </w:r>
    </w:p>
    <w:p w14:paraId="40089C98" w14:textId="77777777" w:rsidR="00F237BC" w:rsidRDefault="00F237BC" w:rsidP="00F237BC">
      <w:pPr>
        <w:pStyle w:val="NormalWeb"/>
        <w:shd w:val="clear" w:color="auto" w:fill="FFFFFF"/>
        <w:spacing w:before="0" w:after="0"/>
        <w:ind w:firstLine="708"/>
        <w:jc w:val="both"/>
        <w:textAlignment w:val="baseline"/>
        <w:rPr>
          <w:bCs/>
          <w:color w:val="000000" w:themeColor="text1"/>
          <w:szCs w:val="24"/>
          <w:shd w:val="clear" w:color="auto" w:fill="FFFFFF"/>
        </w:rPr>
      </w:pPr>
      <w:r>
        <w:rPr>
          <w:bCs/>
          <w:color w:val="000000" w:themeColor="text1"/>
          <w:szCs w:val="24"/>
          <w:shd w:val="clear" w:color="auto" w:fill="FFFFFF"/>
        </w:rPr>
        <w:t xml:space="preserve">Ainda que isto, em princípio, possa parecer um contrassenso, o efeito altista nos preços de alimentos decorreu mais das cadeias com comércio internacional menos importante. Constataram-se maiores deficiências na disponibilidade de alimentos entre os não ou medianamente comercializáveis do que entre os comercializáveis. Neste caso, os exportáveis apresentaram situação mais favorável do que os importáveis.  </w:t>
      </w:r>
    </w:p>
    <w:p w14:paraId="256C3A07" w14:textId="77777777" w:rsidR="00F237BC" w:rsidRDefault="00F237BC" w:rsidP="00F237BC">
      <w:pPr>
        <w:pStyle w:val="NormalWeb"/>
        <w:shd w:val="clear" w:color="auto" w:fill="FFFFFF"/>
        <w:spacing w:before="0" w:after="0"/>
        <w:ind w:firstLine="708"/>
        <w:jc w:val="both"/>
        <w:textAlignment w:val="baseline"/>
        <w:rPr>
          <w:bCs/>
          <w:color w:val="000000" w:themeColor="text1"/>
          <w:szCs w:val="24"/>
          <w:shd w:val="clear" w:color="auto" w:fill="FFFFFF"/>
        </w:rPr>
      </w:pPr>
      <w:r>
        <w:rPr>
          <w:bCs/>
          <w:color w:val="000000" w:themeColor="text1"/>
          <w:szCs w:val="24"/>
          <w:shd w:val="clear" w:color="auto" w:fill="FFFFFF"/>
        </w:rPr>
        <w:t xml:space="preserve">Em consequência, os alimentos das cadeias dos não comercializáveis apresentaram maior variação média de preços do que nos medianamente comercializáveis e, estes, do que nos comercializáveis. Contudo, por participarem mais dos gastos do consumidor e influenciado pelo forte aumento na bovinocultura de corte, os alimentos dos comercializáveis representaram </w:t>
      </w:r>
      <w:r>
        <w:rPr>
          <w:bCs/>
          <w:color w:val="000000" w:themeColor="text1"/>
          <w:szCs w:val="24"/>
          <w:shd w:val="clear" w:color="auto" w:fill="FFFFFF"/>
        </w:rPr>
        <w:lastRenderedPageBreak/>
        <w:t>quase 60% do IPAD, contra próximo a 18% dos medianamente comercializáveis e 8% dos não comercializáveis.</w:t>
      </w:r>
    </w:p>
    <w:p w14:paraId="43FAEAF8" w14:textId="77777777" w:rsidR="00F237BC" w:rsidRDefault="00F237BC" w:rsidP="00F237BC">
      <w:pPr>
        <w:pStyle w:val="NormalWeb"/>
        <w:shd w:val="clear" w:color="auto" w:fill="FFFFFF"/>
        <w:spacing w:before="0" w:after="0"/>
        <w:ind w:firstLine="708"/>
        <w:jc w:val="both"/>
        <w:textAlignment w:val="baseline"/>
        <w:rPr>
          <w:bCs/>
          <w:color w:val="000000" w:themeColor="text1"/>
          <w:szCs w:val="24"/>
          <w:shd w:val="clear" w:color="auto" w:fill="FFFFFF"/>
        </w:rPr>
      </w:pPr>
      <w:r>
        <w:rPr>
          <w:bCs/>
          <w:color w:val="000000" w:themeColor="text1"/>
          <w:szCs w:val="24"/>
          <w:shd w:val="clear" w:color="auto" w:fill="FFFFFF"/>
        </w:rPr>
        <w:t>Uma questão específica que merece ser apontada é justamente a contribuição da bovinocultura de corte para o IPAD. Se sua variação de preços fosse desconsiderada, a média de variação de preços dos exportáveis, entre 2007 e 2019, ficaria abaixo do IPCA, portanto não o pressionando para cima. Não só a grande variação de preços das carnes bovinas explica o fato, mas também sua significativa participação nos gastos do consumidor, apenas atrás dos derivados do trigo.</w:t>
      </w:r>
    </w:p>
    <w:p w14:paraId="0C15106D" w14:textId="4DDD51A7" w:rsidR="00F237BC" w:rsidRDefault="00F237BC" w:rsidP="00F237BC">
      <w:pPr>
        <w:pStyle w:val="NormalWeb"/>
        <w:shd w:val="clear" w:color="auto" w:fill="FFFFFF"/>
        <w:spacing w:before="0" w:after="0"/>
        <w:ind w:firstLine="708"/>
        <w:jc w:val="both"/>
        <w:textAlignment w:val="baseline"/>
        <w:rPr>
          <w:bCs/>
          <w:color w:val="000000" w:themeColor="text1"/>
          <w:szCs w:val="24"/>
          <w:shd w:val="clear" w:color="auto" w:fill="FFFFFF"/>
        </w:rPr>
      </w:pPr>
      <w:r>
        <w:rPr>
          <w:bCs/>
          <w:color w:val="000000" w:themeColor="text1"/>
          <w:szCs w:val="24"/>
          <w:shd w:val="clear" w:color="auto" w:fill="FFFFFF"/>
        </w:rPr>
        <w:t>Outra questão específica é que, em 2020 e 2021, sob os efeitos econômicos da pandemia da covid</w:t>
      </w:r>
      <w:r w:rsidR="00CC3455">
        <w:rPr>
          <w:bCs/>
          <w:color w:val="000000" w:themeColor="text1"/>
          <w:szCs w:val="24"/>
          <w:shd w:val="clear" w:color="auto" w:fill="FFFFFF"/>
        </w:rPr>
        <w:t>-</w:t>
      </w:r>
      <w:r>
        <w:rPr>
          <w:bCs/>
          <w:color w:val="000000" w:themeColor="text1"/>
          <w:szCs w:val="24"/>
          <w:shd w:val="clear" w:color="auto" w:fill="FFFFFF"/>
        </w:rPr>
        <w:t>19, os preços dos alimentos dos comercializáveis no Brasil aumentaram mais do que os dos outros dois grupos, ao contrário do verificado entre 2007 e 2019. Naqueles dois anos</w:t>
      </w:r>
      <w:r w:rsidR="00CC3455">
        <w:rPr>
          <w:bCs/>
          <w:color w:val="000000" w:themeColor="text1"/>
          <w:szCs w:val="24"/>
          <w:shd w:val="clear" w:color="auto" w:fill="FFFFFF"/>
        </w:rPr>
        <w:t>,</w:t>
      </w:r>
      <w:r>
        <w:rPr>
          <w:bCs/>
          <w:color w:val="000000" w:themeColor="text1"/>
          <w:szCs w:val="24"/>
          <w:shd w:val="clear" w:color="auto" w:fill="FFFFFF"/>
        </w:rPr>
        <w:t xml:space="preserve"> foram relatados problemas na circulação de mercadorias no comércio internacional aliados, muito provavelmente, a movimentos especulativos promovidos por grandes empresas comercializadoras, com efeitos altistas nos preços das </w:t>
      </w:r>
      <w:r w:rsidRPr="00F237BC">
        <w:rPr>
          <w:bCs/>
          <w:color w:val="000000" w:themeColor="text1"/>
          <w:szCs w:val="24"/>
          <w:shd w:val="clear" w:color="auto" w:fill="FFFFFF"/>
        </w:rPr>
        <w:t>commodities</w:t>
      </w:r>
      <w:r>
        <w:rPr>
          <w:bCs/>
          <w:color w:val="000000" w:themeColor="text1"/>
          <w:szCs w:val="24"/>
          <w:shd w:val="clear" w:color="auto" w:fill="FFFFFF"/>
        </w:rPr>
        <w:t>.</w:t>
      </w:r>
    </w:p>
    <w:p w14:paraId="1F23E165" w14:textId="77777777" w:rsidR="00F237BC" w:rsidRDefault="00F237BC" w:rsidP="00F237BC">
      <w:pPr>
        <w:pStyle w:val="NormalWeb"/>
        <w:shd w:val="clear" w:color="auto" w:fill="FFFFFF"/>
        <w:spacing w:before="0" w:after="0"/>
        <w:ind w:firstLine="708"/>
        <w:jc w:val="both"/>
        <w:textAlignment w:val="baseline"/>
        <w:rPr>
          <w:bCs/>
          <w:color w:val="000000" w:themeColor="text1"/>
          <w:szCs w:val="24"/>
          <w:shd w:val="clear" w:color="auto" w:fill="FFFFFF"/>
        </w:rPr>
      </w:pPr>
      <w:r>
        <w:rPr>
          <w:bCs/>
          <w:color w:val="000000" w:themeColor="text1"/>
          <w:szCs w:val="24"/>
          <w:shd w:val="clear" w:color="auto" w:fill="FFFFFF"/>
        </w:rPr>
        <w:t xml:space="preserve">Desconsiderando a bovinocultura de corte e os dois anos mais recentes, os resultados obtidos no artigo apontam que a influência dos exportáveis sobre a inflação de alimentos no Brasil não decorreu da elevação de seus preços, mas se deu de maneira indireta. O maior dinamismo externo de algumas cadeias dificultou a elevação da produção e o abastecimento do mercado interno no caso daqueles produtos com comércio exterior menos significativo. </w:t>
      </w:r>
    </w:p>
    <w:p w14:paraId="3E8A9138" w14:textId="77777777" w:rsidR="00F237BC" w:rsidRDefault="00F237BC" w:rsidP="00F237BC">
      <w:pPr>
        <w:pStyle w:val="NormalWeb"/>
        <w:shd w:val="clear" w:color="auto" w:fill="FFFFFF"/>
        <w:spacing w:before="0" w:after="0"/>
        <w:ind w:firstLine="708"/>
        <w:jc w:val="both"/>
        <w:textAlignment w:val="baseline"/>
        <w:rPr>
          <w:bCs/>
          <w:color w:val="000000" w:themeColor="text1"/>
          <w:szCs w:val="24"/>
          <w:shd w:val="clear" w:color="auto" w:fill="FFFFFF"/>
        </w:rPr>
      </w:pPr>
      <w:r w:rsidRPr="007B17E3">
        <w:rPr>
          <w:bCs/>
          <w:color w:val="000000" w:themeColor="text1"/>
          <w:szCs w:val="24"/>
          <w:shd w:val="clear" w:color="auto" w:fill="FFFFFF"/>
        </w:rPr>
        <w:t xml:space="preserve">Em termos de políticas públicas, sugere-se </w:t>
      </w:r>
      <w:r>
        <w:rPr>
          <w:bCs/>
          <w:color w:val="000000" w:themeColor="text1"/>
          <w:szCs w:val="24"/>
          <w:shd w:val="clear" w:color="auto" w:fill="FFFFFF"/>
        </w:rPr>
        <w:t>que haja intervenções, em especial a adoção de tarifas de exportação, que procurem diminuir a transferência de aumentos consideráveis ou bruscos dos preços internacionais para o mercado interno. Citam-se como exemplos, a elevação de preços na bovinocultura de corte muito acima da média, entre 2007 e 2019, e o crescimento abrupto de preços nas cadeias da cana-de-açúcar, café e soja, entre 2020 e 2021.</w:t>
      </w:r>
      <w:r w:rsidRPr="007B17E3">
        <w:rPr>
          <w:bCs/>
          <w:color w:val="000000" w:themeColor="text1"/>
          <w:szCs w:val="24"/>
          <w:shd w:val="clear" w:color="auto" w:fill="FFFFFF"/>
        </w:rPr>
        <w:t xml:space="preserve"> Outra sugestão é que se adotem estímulos públicos à produção de arroz, feijão, mandioca, frutas e legumes, visando a elevação de sua disponibilidade interna.</w:t>
      </w:r>
    </w:p>
    <w:p w14:paraId="64F1EDA7" w14:textId="77777777" w:rsidR="00F237BC" w:rsidRPr="007B17E3" w:rsidRDefault="00F237BC" w:rsidP="00F237BC">
      <w:pPr>
        <w:pStyle w:val="NormalWeb"/>
        <w:shd w:val="clear" w:color="auto" w:fill="FFFFFF"/>
        <w:spacing w:before="0" w:after="0"/>
        <w:ind w:firstLine="708"/>
        <w:jc w:val="both"/>
        <w:textAlignment w:val="baseline"/>
        <w:rPr>
          <w:bCs/>
          <w:color w:val="000000" w:themeColor="text1"/>
          <w:szCs w:val="24"/>
          <w:shd w:val="clear" w:color="auto" w:fill="FFFFFF"/>
        </w:rPr>
      </w:pPr>
      <w:r>
        <w:rPr>
          <w:bCs/>
          <w:color w:val="000000" w:themeColor="text1"/>
          <w:szCs w:val="24"/>
          <w:shd w:val="clear" w:color="auto" w:fill="FFFFFF"/>
        </w:rPr>
        <w:t>Três outros temas estão sendo desenvolvidas para aprimorar as análises do presente artigo. Um deles é o estudo da relação estatística dos preços ao consumidor, ao agricultor e do comércio externo para cada uma das 19 cadeias. Outro, é o efeito dos movimentos cambiais, de valorização ou desvalorização, na transmissão dos preços externos para o mercado interno. O terceiro é de confrontar, com mais detalhes e abrangência, a evolução da disponibilidade interna com o consumo interno dos produtos das cadeias consideradas.</w:t>
      </w:r>
    </w:p>
    <w:p w14:paraId="65BEABDD" w14:textId="5ED4352B" w:rsidR="00F237BC" w:rsidRDefault="00F237BC" w:rsidP="00F237BC">
      <w:pPr>
        <w:spacing w:after="0" w:line="240" w:lineRule="auto"/>
        <w:jc w:val="both"/>
        <w:rPr>
          <w:rFonts w:ascii="Times New Roman" w:eastAsia="Times New Roman" w:hAnsi="Times New Roman" w:cs="Times New Roman"/>
          <w:bCs/>
          <w:color w:val="000000" w:themeColor="text1"/>
          <w:sz w:val="24"/>
          <w:szCs w:val="24"/>
          <w:shd w:val="clear" w:color="auto" w:fill="FFFFFF"/>
        </w:rPr>
      </w:pPr>
    </w:p>
    <w:p w14:paraId="4EF1399A" w14:textId="77777777" w:rsidR="00990A65" w:rsidRPr="00990A65" w:rsidRDefault="00990A65" w:rsidP="00990A65">
      <w:pPr>
        <w:pStyle w:val="NormalWeb"/>
        <w:shd w:val="clear" w:color="auto" w:fill="FFFFFF"/>
        <w:spacing w:before="0" w:after="0"/>
        <w:jc w:val="both"/>
        <w:textAlignment w:val="baseline"/>
        <w:rPr>
          <w:b/>
          <w:color w:val="000000" w:themeColor="text1"/>
          <w:szCs w:val="24"/>
          <w:shd w:val="clear" w:color="auto" w:fill="FFFFFF"/>
        </w:rPr>
      </w:pPr>
      <w:r w:rsidRPr="00990A65">
        <w:rPr>
          <w:b/>
          <w:color w:val="000000" w:themeColor="text1"/>
          <w:szCs w:val="24"/>
          <w:shd w:val="clear" w:color="auto" w:fill="FFFFFF"/>
        </w:rPr>
        <w:t>Referências</w:t>
      </w:r>
    </w:p>
    <w:p w14:paraId="173BB06D" w14:textId="77777777" w:rsidR="00990A65" w:rsidRPr="00990A65" w:rsidRDefault="00990A65" w:rsidP="00990A65">
      <w:pPr>
        <w:pStyle w:val="NormalWeb"/>
        <w:shd w:val="clear" w:color="auto" w:fill="FFFFFF"/>
        <w:spacing w:before="0" w:after="0"/>
        <w:jc w:val="both"/>
        <w:textAlignment w:val="baseline"/>
        <w:rPr>
          <w:bCs/>
          <w:color w:val="000000" w:themeColor="text1"/>
          <w:szCs w:val="24"/>
          <w:shd w:val="clear" w:color="auto" w:fill="FFFFFF"/>
        </w:rPr>
      </w:pPr>
      <w:r w:rsidRPr="00990A65">
        <w:rPr>
          <w:bCs/>
          <w:color w:val="000000" w:themeColor="text1"/>
          <w:szCs w:val="24"/>
          <w:shd w:val="clear" w:color="auto" w:fill="FFFFFF"/>
        </w:rPr>
        <w:t xml:space="preserve">ALEIXO, S. S. </w:t>
      </w:r>
      <w:r w:rsidRPr="00990A65">
        <w:rPr>
          <w:b/>
          <w:color w:val="000000" w:themeColor="text1"/>
          <w:szCs w:val="24"/>
          <w:shd w:val="clear" w:color="auto" w:fill="FFFFFF"/>
        </w:rPr>
        <w:t>Configurações contemporâneas do complexo agroindustrial do leite:</w:t>
      </w:r>
      <w:r w:rsidRPr="00990A65">
        <w:rPr>
          <w:bCs/>
          <w:color w:val="000000" w:themeColor="text1"/>
          <w:szCs w:val="24"/>
          <w:shd w:val="clear" w:color="auto" w:fill="FFFFFF"/>
        </w:rPr>
        <w:t xml:space="preserve"> produção, industrialização e consumo no estado de São Paulo. Tese (Doutorado em Zootecnia) - Faculdade de Ciências Agrárias e Veterinárias, São Paulo, 2012. Disponível em: http://hdl.handle.net/11449/104876.</w:t>
      </w:r>
    </w:p>
    <w:p w14:paraId="67EBF327" w14:textId="2D536AE8" w:rsidR="00990A65" w:rsidRPr="00990A65" w:rsidRDefault="00990A65" w:rsidP="00990A65">
      <w:pPr>
        <w:pStyle w:val="NormalWeb"/>
        <w:shd w:val="clear" w:color="auto" w:fill="FFFFFF"/>
        <w:spacing w:before="0" w:after="0"/>
        <w:jc w:val="both"/>
        <w:textAlignment w:val="baseline"/>
        <w:rPr>
          <w:bCs/>
          <w:color w:val="000000" w:themeColor="text1"/>
          <w:szCs w:val="24"/>
          <w:shd w:val="clear" w:color="auto" w:fill="FFFFFF"/>
        </w:rPr>
      </w:pPr>
      <w:r w:rsidRPr="00990A65">
        <w:rPr>
          <w:bCs/>
          <w:color w:val="000000" w:themeColor="text1"/>
          <w:szCs w:val="24"/>
          <w:shd w:val="clear" w:color="auto" w:fill="FFFFFF"/>
        </w:rPr>
        <w:t>BACCARIN, J.G.; OLIVEIRA, J.</w:t>
      </w:r>
      <w:r w:rsidR="00DC0917">
        <w:rPr>
          <w:bCs/>
          <w:color w:val="000000" w:themeColor="text1"/>
          <w:szCs w:val="24"/>
          <w:shd w:val="clear" w:color="auto" w:fill="FFFFFF"/>
        </w:rPr>
        <w:t xml:space="preserve"> </w:t>
      </w:r>
      <w:r w:rsidRPr="00990A65">
        <w:rPr>
          <w:bCs/>
          <w:color w:val="000000" w:themeColor="text1"/>
          <w:szCs w:val="24"/>
          <w:shd w:val="clear" w:color="auto" w:fill="FFFFFF"/>
        </w:rPr>
        <w:t xml:space="preserve">A. Inflação de alimentos no Brasil em período da pandemia da Covid 19, continuidade e mudanças. </w:t>
      </w:r>
      <w:r w:rsidRPr="00990A65">
        <w:rPr>
          <w:b/>
          <w:color w:val="000000" w:themeColor="text1"/>
          <w:szCs w:val="24"/>
          <w:shd w:val="clear" w:color="auto" w:fill="FFFFFF"/>
        </w:rPr>
        <w:t>Segurança Alimentar e Nutricional</w:t>
      </w:r>
      <w:r w:rsidRPr="00990A65">
        <w:rPr>
          <w:bCs/>
          <w:color w:val="000000" w:themeColor="text1"/>
          <w:szCs w:val="24"/>
          <w:shd w:val="clear" w:color="auto" w:fill="FFFFFF"/>
        </w:rPr>
        <w:t xml:space="preserve">, 2021. Disponível em: </w:t>
      </w:r>
      <w:r w:rsidRPr="00990A65">
        <w:rPr>
          <w:szCs w:val="24"/>
        </w:rPr>
        <w:t>http://dx.doi.org/10.20396/san.v28i00.8661127</w:t>
      </w:r>
      <w:r w:rsidRPr="00990A65">
        <w:rPr>
          <w:bCs/>
          <w:color w:val="000000" w:themeColor="text1"/>
          <w:szCs w:val="24"/>
          <w:shd w:val="clear" w:color="auto" w:fill="FFFFFF"/>
        </w:rPr>
        <w:t>. Acesso em: 13 mai. 2022.</w:t>
      </w:r>
    </w:p>
    <w:p w14:paraId="61DC09CA" w14:textId="69981017" w:rsidR="00990A65" w:rsidRPr="00990A65" w:rsidRDefault="00990A65" w:rsidP="00990A65">
      <w:pPr>
        <w:pStyle w:val="NormalWeb"/>
        <w:shd w:val="clear" w:color="auto" w:fill="FFFFFF"/>
        <w:spacing w:before="0" w:after="0"/>
        <w:jc w:val="both"/>
        <w:textAlignment w:val="baseline"/>
        <w:rPr>
          <w:bCs/>
          <w:color w:val="000000" w:themeColor="text1"/>
          <w:szCs w:val="24"/>
          <w:shd w:val="clear" w:color="auto" w:fill="FFFFFF"/>
        </w:rPr>
      </w:pPr>
      <w:r w:rsidRPr="00990A65">
        <w:rPr>
          <w:bCs/>
          <w:color w:val="000000" w:themeColor="text1"/>
          <w:szCs w:val="24"/>
          <w:shd w:val="clear" w:color="auto" w:fill="FFFFFF"/>
        </w:rPr>
        <w:t xml:space="preserve">BOLIKO, M. C. FAO and the Situation of Food Security and Nutrition in the World. </w:t>
      </w:r>
      <w:r w:rsidRPr="00990A65">
        <w:rPr>
          <w:b/>
          <w:color w:val="000000" w:themeColor="text1"/>
          <w:szCs w:val="24"/>
          <w:shd w:val="clear" w:color="auto" w:fill="FFFFFF"/>
        </w:rPr>
        <w:t>Journal of Nutritional Science and Vitaminology</w:t>
      </w:r>
      <w:r w:rsidRPr="00990A65">
        <w:rPr>
          <w:bCs/>
          <w:color w:val="000000" w:themeColor="text1"/>
          <w:szCs w:val="24"/>
          <w:shd w:val="clear" w:color="auto" w:fill="FFFFFF"/>
        </w:rPr>
        <w:t xml:space="preserve">, 2019. Disponível em: </w:t>
      </w:r>
      <w:hyperlink r:id="rId15" w:history="1">
        <w:r w:rsidR="00DC0917" w:rsidRPr="00DC0917">
          <w:rPr>
            <w:rStyle w:val="Hyperlink"/>
            <w:bCs/>
            <w:color w:val="auto"/>
            <w:szCs w:val="24"/>
            <w:u w:val="none"/>
            <w:shd w:val="clear" w:color="auto" w:fill="FFFFFF"/>
          </w:rPr>
          <w:t>https://doi.org/10.3177/</w:t>
        </w:r>
      </w:hyperlink>
      <w:r w:rsidR="00DC0917">
        <w:rPr>
          <w:bCs/>
          <w:szCs w:val="24"/>
          <w:shd w:val="clear" w:color="auto" w:fill="FFFFFF"/>
        </w:rPr>
        <w:t xml:space="preserve"> </w:t>
      </w:r>
      <w:r w:rsidRPr="00990A65">
        <w:rPr>
          <w:bCs/>
          <w:color w:val="000000" w:themeColor="text1"/>
          <w:szCs w:val="24"/>
          <w:shd w:val="clear" w:color="auto" w:fill="FFFFFF"/>
        </w:rPr>
        <w:t>jnsv.65.s4. Acesso em: 14 nov. 2022.</w:t>
      </w:r>
    </w:p>
    <w:p w14:paraId="5170766E" w14:textId="59240A5A" w:rsidR="00990A65" w:rsidRPr="00990A65" w:rsidRDefault="00990A65" w:rsidP="00990A65">
      <w:pPr>
        <w:pStyle w:val="NormalWeb"/>
        <w:shd w:val="clear" w:color="auto" w:fill="FFFFFF"/>
        <w:spacing w:before="0" w:after="0"/>
        <w:jc w:val="both"/>
        <w:textAlignment w:val="baseline"/>
        <w:rPr>
          <w:bCs/>
          <w:color w:val="000000" w:themeColor="text1"/>
          <w:szCs w:val="24"/>
          <w:shd w:val="clear" w:color="auto" w:fill="FFFFFF"/>
        </w:rPr>
      </w:pPr>
      <w:r w:rsidRPr="00990A65">
        <w:rPr>
          <w:bCs/>
          <w:color w:val="000000" w:themeColor="text1"/>
          <w:szCs w:val="24"/>
          <w:shd w:val="clear" w:color="auto" w:fill="FFFFFF"/>
        </w:rPr>
        <w:lastRenderedPageBreak/>
        <w:t xml:space="preserve">BRASIL. </w:t>
      </w:r>
      <w:r w:rsidRPr="00990A65">
        <w:rPr>
          <w:b/>
          <w:color w:val="000000" w:themeColor="text1"/>
          <w:szCs w:val="24"/>
          <w:shd w:val="clear" w:color="auto" w:fill="FFFFFF"/>
        </w:rPr>
        <w:t>Decreto 56.585</w:t>
      </w:r>
      <w:r w:rsidRPr="00990A65">
        <w:rPr>
          <w:bCs/>
          <w:color w:val="000000" w:themeColor="text1"/>
          <w:szCs w:val="24"/>
          <w:shd w:val="clear" w:color="auto" w:fill="FFFFFF"/>
        </w:rPr>
        <w:t xml:space="preserve">, de 20 de julho de 1965 - Aprova as novas especificações para a classificação e </w:t>
      </w:r>
      <w:r w:rsidRPr="00990A65">
        <w:rPr>
          <w:bCs/>
          <w:szCs w:val="24"/>
          <w:shd w:val="clear" w:color="auto" w:fill="FFFFFF"/>
        </w:rPr>
        <w:t xml:space="preserve">fiscalização do ovo. </w:t>
      </w:r>
      <w:r w:rsidRPr="00990A65">
        <w:rPr>
          <w:bCs/>
          <w:color w:val="000000" w:themeColor="text1"/>
          <w:szCs w:val="24"/>
          <w:shd w:val="clear" w:color="auto" w:fill="FFFFFF"/>
        </w:rPr>
        <w:t>Coordenadoria de Defesa Agropecuária do Estado de São Paulo – CDAESP,</w:t>
      </w:r>
      <w:r w:rsidRPr="00990A65">
        <w:rPr>
          <w:bCs/>
          <w:szCs w:val="24"/>
          <w:shd w:val="clear" w:color="auto" w:fill="FFFFFF"/>
        </w:rPr>
        <w:t xml:space="preserve"> 1965. Disponível em: </w:t>
      </w:r>
      <w:hyperlink r:id="rId16" w:history="1">
        <w:r w:rsidR="00DC0917" w:rsidRPr="00DC0917">
          <w:rPr>
            <w:rStyle w:val="Hyperlink"/>
            <w:color w:val="auto"/>
            <w:szCs w:val="24"/>
            <w:u w:val="none"/>
          </w:rPr>
          <w:t>https://www.defesa.agricultura.sp.gov.br/</w:t>
        </w:r>
      </w:hyperlink>
      <w:r w:rsidR="00DC0917">
        <w:rPr>
          <w:szCs w:val="24"/>
        </w:rPr>
        <w:t>l</w:t>
      </w:r>
      <w:r w:rsidRPr="00990A65">
        <w:rPr>
          <w:bCs/>
          <w:szCs w:val="24"/>
          <w:shd w:val="clear" w:color="auto" w:fill="FFFFFF"/>
        </w:rPr>
        <w:t>egislacoes/</w:t>
      </w:r>
      <w:r w:rsidR="00DC0917">
        <w:rPr>
          <w:bCs/>
          <w:szCs w:val="24"/>
          <w:shd w:val="clear" w:color="auto" w:fill="FFFFFF"/>
        </w:rPr>
        <w:t xml:space="preserve"> </w:t>
      </w:r>
      <w:r w:rsidRPr="00990A65">
        <w:rPr>
          <w:bCs/>
          <w:szCs w:val="24"/>
          <w:shd w:val="clear" w:color="auto" w:fill="FFFFFF"/>
        </w:rPr>
        <w:t>decreto-56585-de-20-07-1965,359.html#:~:</w:t>
      </w:r>
      <w:r w:rsidRPr="00990A65">
        <w:rPr>
          <w:bCs/>
          <w:color w:val="000000" w:themeColor="text1"/>
          <w:szCs w:val="24"/>
          <w:shd w:val="clear" w:color="auto" w:fill="FFFFFF"/>
        </w:rPr>
        <w:t>text=Tipo%201%20(extra)%20%2D%20com,e%</w:t>
      </w:r>
      <w:r w:rsidR="00DC0917">
        <w:rPr>
          <w:bCs/>
          <w:color w:val="000000" w:themeColor="text1"/>
          <w:szCs w:val="24"/>
          <w:shd w:val="clear" w:color="auto" w:fill="FFFFFF"/>
        </w:rPr>
        <w:t xml:space="preserve"> </w:t>
      </w:r>
      <w:r w:rsidRPr="00990A65">
        <w:rPr>
          <w:bCs/>
          <w:color w:val="000000" w:themeColor="text1"/>
          <w:szCs w:val="24"/>
          <w:shd w:val="clear" w:color="auto" w:fill="FFFFFF"/>
        </w:rPr>
        <w:t xml:space="preserve">20sessenta. Acesso em: </w:t>
      </w:r>
      <w:r w:rsidRPr="00990A65">
        <w:rPr>
          <w:bCs/>
          <w:szCs w:val="24"/>
          <w:shd w:val="clear" w:color="auto" w:fill="FFFFFF"/>
        </w:rPr>
        <w:t>15 mai. 2022.</w:t>
      </w:r>
    </w:p>
    <w:p w14:paraId="627C30F3" w14:textId="55A5A0F4" w:rsidR="00990A65" w:rsidRPr="00990A65" w:rsidRDefault="00990A65" w:rsidP="00990A65">
      <w:pPr>
        <w:pStyle w:val="NormalWeb"/>
        <w:spacing w:before="0" w:after="0"/>
        <w:jc w:val="both"/>
        <w:rPr>
          <w:bCs/>
          <w:color w:val="000000" w:themeColor="text1"/>
          <w:szCs w:val="24"/>
          <w:shd w:val="clear" w:color="auto" w:fill="FFFFFF"/>
        </w:rPr>
      </w:pPr>
      <w:r w:rsidRPr="00990A65">
        <w:rPr>
          <w:bCs/>
          <w:color w:val="000000" w:themeColor="text1"/>
          <w:szCs w:val="24"/>
          <w:shd w:val="clear" w:color="auto" w:fill="FFFFFF"/>
        </w:rPr>
        <w:t xml:space="preserve">BRASIL. MAPA: Métodos da área POA/IQA. </w:t>
      </w:r>
      <w:r w:rsidRPr="00990A65">
        <w:rPr>
          <w:b/>
          <w:color w:val="000000" w:themeColor="text1"/>
          <w:szCs w:val="24"/>
          <w:shd w:val="clear" w:color="auto" w:fill="FFFFFF"/>
        </w:rPr>
        <w:t>Determinação da densidade em leite fluido com uso do termolactodensímetro</w:t>
      </w:r>
      <w:r w:rsidRPr="00990A65">
        <w:rPr>
          <w:bCs/>
          <w:color w:val="000000" w:themeColor="text1"/>
          <w:szCs w:val="24"/>
          <w:shd w:val="clear" w:color="auto" w:fill="FFFFFF"/>
        </w:rPr>
        <w:t xml:space="preserve">. Ministério da Agricultura, Pecuária e Abastecimento – MAPA, 2013. Disponível em: </w:t>
      </w:r>
      <w:hyperlink r:id="rId17" w:history="1">
        <w:r w:rsidR="00DC0917" w:rsidRPr="00DC0917">
          <w:rPr>
            <w:rStyle w:val="Hyperlink"/>
            <w:color w:val="auto"/>
            <w:szCs w:val="24"/>
            <w:u w:val="none"/>
          </w:rPr>
          <w:t>https://www.gov.br/agricultura/pt-br/assuntos/laboratorios/</w:t>
        </w:r>
      </w:hyperlink>
      <w:r w:rsidR="00DC0917" w:rsidRPr="00DC0917">
        <w:rPr>
          <w:szCs w:val="24"/>
        </w:rPr>
        <w:t xml:space="preserve"> </w:t>
      </w:r>
      <w:r w:rsidRPr="00990A65">
        <w:rPr>
          <w:bCs/>
          <w:szCs w:val="24"/>
          <w:shd w:val="clear" w:color="auto" w:fill="FFFFFF"/>
        </w:rPr>
        <w:t>credenciamento-e-laboratorios-credenciados/legislacao-metodos-credenciados/arquivos-metodos-da-area-poa-iqa/met-poa-09-02-densidade-em-leite-fluido.</w:t>
      </w:r>
      <w:r w:rsidRPr="00990A65">
        <w:rPr>
          <w:bCs/>
          <w:color w:val="000000" w:themeColor="text1"/>
          <w:szCs w:val="24"/>
          <w:shd w:val="clear" w:color="auto" w:fill="FFFFFF"/>
        </w:rPr>
        <w:t>pdf. Acesso em: 15 mai. 2022.</w:t>
      </w:r>
    </w:p>
    <w:p w14:paraId="516ED60F" w14:textId="0A38B6F8" w:rsidR="00990A65" w:rsidRPr="00990A65" w:rsidRDefault="00990A65" w:rsidP="00990A65">
      <w:pPr>
        <w:autoSpaceDE w:val="0"/>
        <w:autoSpaceDN w:val="0"/>
        <w:adjustRightInd w:val="0"/>
        <w:spacing w:after="0" w:line="240" w:lineRule="auto"/>
        <w:jc w:val="both"/>
        <w:rPr>
          <w:rFonts w:ascii="Times New Roman" w:eastAsia="Times New Roman" w:hAnsi="Times New Roman" w:cs="Times New Roman"/>
          <w:bCs/>
          <w:sz w:val="24"/>
          <w:szCs w:val="24"/>
          <w:shd w:val="clear" w:color="auto" w:fill="FFFFFF"/>
        </w:rPr>
      </w:pPr>
      <w:r w:rsidRPr="00990A65">
        <w:rPr>
          <w:rFonts w:ascii="Times New Roman" w:eastAsia="Times New Roman" w:hAnsi="Times New Roman" w:cs="Times New Roman"/>
          <w:bCs/>
          <w:sz w:val="24"/>
          <w:szCs w:val="24"/>
          <w:shd w:val="clear" w:color="auto" w:fill="FFFFFF"/>
        </w:rPr>
        <w:t xml:space="preserve">BRASIL. </w:t>
      </w:r>
      <w:r w:rsidRPr="00990A65">
        <w:rPr>
          <w:rFonts w:ascii="Times New Roman" w:eastAsia="Times New Roman" w:hAnsi="Times New Roman" w:cs="Times New Roman"/>
          <w:b/>
          <w:sz w:val="24"/>
          <w:szCs w:val="24"/>
          <w:shd w:val="clear" w:color="auto" w:fill="FFFFFF"/>
        </w:rPr>
        <w:t>Estatísticas de comércio exterior, Sistema AgroStat</w:t>
      </w:r>
      <w:r w:rsidRPr="00990A65">
        <w:rPr>
          <w:rFonts w:ascii="Times New Roman" w:eastAsia="Times New Roman" w:hAnsi="Times New Roman" w:cs="Times New Roman"/>
          <w:bCs/>
          <w:sz w:val="24"/>
          <w:szCs w:val="24"/>
          <w:shd w:val="clear" w:color="auto" w:fill="FFFFFF"/>
        </w:rPr>
        <w:t xml:space="preserve">. Ministério da Agricultura, Pecuária e Abastecimento - MAPA, 2021. Disponível em </w:t>
      </w:r>
      <w:hyperlink r:id="rId18" w:history="1">
        <w:r w:rsidR="00DC0917" w:rsidRPr="00DC0917">
          <w:rPr>
            <w:rStyle w:val="Hyperlink"/>
            <w:rFonts w:ascii="Times New Roman" w:eastAsia="Times New Roman" w:hAnsi="Times New Roman" w:cs="Times New Roman"/>
            <w:bCs/>
            <w:color w:val="auto"/>
            <w:sz w:val="24"/>
            <w:szCs w:val="24"/>
            <w:u w:val="none"/>
            <w:shd w:val="clear" w:color="auto" w:fill="FFFFFF"/>
          </w:rPr>
          <w:t>http://www.agricultura.gov.br/</w:t>
        </w:r>
      </w:hyperlink>
      <w:r w:rsidR="00DC0917">
        <w:rPr>
          <w:rFonts w:ascii="Times New Roman" w:eastAsia="Times New Roman" w:hAnsi="Times New Roman" w:cs="Times New Roman"/>
          <w:bCs/>
          <w:sz w:val="24"/>
          <w:szCs w:val="24"/>
          <w:shd w:val="clear" w:color="auto" w:fill="FFFFFF"/>
        </w:rPr>
        <w:t xml:space="preserve"> </w:t>
      </w:r>
      <w:r w:rsidRPr="00990A65">
        <w:rPr>
          <w:rFonts w:ascii="Times New Roman" w:eastAsia="Times New Roman" w:hAnsi="Times New Roman" w:cs="Times New Roman"/>
          <w:bCs/>
          <w:sz w:val="24"/>
          <w:szCs w:val="24"/>
          <w:shd w:val="clear" w:color="auto" w:fill="FFFFFF"/>
        </w:rPr>
        <w:t>assuntos/relacoes-internacionais/estatísticas-de-comercio-exterior. Acesso em 20 mai. 2021.</w:t>
      </w:r>
    </w:p>
    <w:p w14:paraId="2416D9FD" w14:textId="77777777" w:rsidR="00990A65" w:rsidRPr="00990A65" w:rsidRDefault="00990A65" w:rsidP="00990A65">
      <w:p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shd w:val="clear" w:color="auto" w:fill="FFFFFF"/>
        </w:rPr>
      </w:pPr>
      <w:r w:rsidRPr="00990A65">
        <w:rPr>
          <w:rFonts w:ascii="Times New Roman" w:eastAsia="Times New Roman" w:hAnsi="Times New Roman" w:cs="Times New Roman"/>
          <w:bCs/>
          <w:color w:val="000000" w:themeColor="text1"/>
          <w:sz w:val="24"/>
          <w:szCs w:val="24"/>
          <w:shd w:val="clear" w:color="auto" w:fill="FFFFFF"/>
        </w:rPr>
        <w:t xml:space="preserve">BRASIL. </w:t>
      </w:r>
      <w:r w:rsidRPr="00990A65">
        <w:rPr>
          <w:rFonts w:ascii="Times New Roman" w:eastAsia="Times New Roman" w:hAnsi="Times New Roman" w:cs="Times New Roman"/>
          <w:b/>
          <w:color w:val="000000" w:themeColor="text1"/>
          <w:sz w:val="24"/>
          <w:szCs w:val="24"/>
          <w:shd w:val="clear" w:color="auto" w:fill="FFFFFF"/>
        </w:rPr>
        <w:t>Comex Stat</w:t>
      </w:r>
      <w:r w:rsidRPr="00990A65">
        <w:rPr>
          <w:rFonts w:ascii="Times New Roman" w:eastAsia="Times New Roman" w:hAnsi="Times New Roman" w:cs="Times New Roman"/>
          <w:bCs/>
          <w:color w:val="000000" w:themeColor="text1"/>
          <w:sz w:val="24"/>
          <w:szCs w:val="24"/>
          <w:shd w:val="clear" w:color="auto" w:fill="FFFFFF"/>
        </w:rPr>
        <w:t>. Ministério da Indústria, Comércio Exterior e Serviços – MICES, 2022. Disponível em: http://comexstat.mdic.gov.br/pt/home. Acesso em: 5 abr. 2022.</w:t>
      </w:r>
    </w:p>
    <w:p w14:paraId="1BB57EE7" w14:textId="77777777" w:rsidR="00990A65" w:rsidRPr="00990A65" w:rsidRDefault="00990A65" w:rsidP="00990A65">
      <w:pPr>
        <w:pStyle w:val="NormalWeb"/>
        <w:shd w:val="clear" w:color="auto" w:fill="FFFFFF"/>
        <w:spacing w:before="0" w:after="0"/>
        <w:jc w:val="both"/>
        <w:textAlignment w:val="baseline"/>
        <w:rPr>
          <w:bCs/>
          <w:color w:val="000000" w:themeColor="text1"/>
          <w:szCs w:val="24"/>
          <w:shd w:val="clear" w:color="auto" w:fill="FFFFFF"/>
        </w:rPr>
      </w:pPr>
      <w:r w:rsidRPr="00990A65">
        <w:rPr>
          <w:bCs/>
          <w:color w:val="000000" w:themeColor="text1"/>
          <w:szCs w:val="24"/>
          <w:shd w:val="clear" w:color="auto" w:fill="FFFFFF"/>
        </w:rPr>
        <w:t xml:space="preserve">BRAUN, J. V. </w:t>
      </w:r>
      <w:r w:rsidRPr="00990A65">
        <w:rPr>
          <w:b/>
          <w:color w:val="000000" w:themeColor="text1"/>
          <w:szCs w:val="24"/>
          <w:shd w:val="clear" w:color="auto" w:fill="FFFFFF"/>
        </w:rPr>
        <w:t>The world food situation: new driving forces and required actions</w:t>
      </w:r>
      <w:r w:rsidRPr="00990A65">
        <w:rPr>
          <w:bCs/>
          <w:color w:val="000000" w:themeColor="text1"/>
          <w:szCs w:val="24"/>
          <w:shd w:val="clear" w:color="auto" w:fill="FFFFFF"/>
        </w:rPr>
        <w:t xml:space="preserve">. Food Policy Report. International Food Policy Research Institute, 2007. Disponível em: </w:t>
      </w:r>
      <w:r w:rsidRPr="00990A65">
        <w:rPr>
          <w:color w:val="000000" w:themeColor="text1"/>
          <w:szCs w:val="24"/>
        </w:rPr>
        <w:t>http://dx.doi.org/10.2499/0896295303</w:t>
      </w:r>
      <w:r w:rsidRPr="00990A65">
        <w:rPr>
          <w:bCs/>
          <w:color w:val="000000" w:themeColor="text1"/>
          <w:szCs w:val="24"/>
          <w:shd w:val="clear" w:color="auto" w:fill="FFFFFF"/>
        </w:rPr>
        <w:t>. Acesso em: 14 nov. 2022.</w:t>
      </w:r>
    </w:p>
    <w:p w14:paraId="1CD21C0B" w14:textId="77777777" w:rsidR="00990A65" w:rsidRPr="00990A65" w:rsidRDefault="00990A65" w:rsidP="00990A65">
      <w:pPr>
        <w:pStyle w:val="NormalWeb"/>
        <w:shd w:val="clear" w:color="auto" w:fill="FFFFFF"/>
        <w:spacing w:before="0" w:after="0"/>
        <w:jc w:val="both"/>
        <w:textAlignment w:val="baseline"/>
        <w:rPr>
          <w:bCs/>
          <w:color w:val="000000" w:themeColor="text1"/>
          <w:szCs w:val="24"/>
          <w:shd w:val="clear" w:color="auto" w:fill="FFFFFF"/>
        </w:rPr>
      </w:pPr>
      <w:r w:rsidRPr="00990A65">
        <w:rPr>
          <w:bCs/>
          <w:color w:val="000000" w:themeColor="text1"/>
          <w:szCs w:val="24"/>
          <w:shd w:val="clear" w:color="auto" w:fill="FFFFFF"/>
        </w:rPr>
        <w:t xml:space="preserve">CARVALHO, A. A. et al.. Estrutura, padrão fenotípico, constituintes nutricionais e métodos de avaliação de qualidade de ovos de galinhas. In: CARVALHO, D. A., SARMENTO, J. L. R., ALMEIDA, M. J. O. (org.). </w:t>
      </w:r>
      <w:r w:rsidRPr="00990A65">
        <w:rPr>
          <w:b/>
          <w:color w:val="000000" w:themeColor="text1"/>
          <w:szCs w:val="24"/>
          <w:shd w:val="clear" w:color="auto" w:fill="FFFFFF"/>
        </w:rPr>
        <w:t>Conservação, uso e melhoramento de galinhas caipiras</w:t>
      </w:r>
      <w:r w:rsidRPr="00990A65">
        <w:rPr>
          <w:bCs/>
          <w:color w:val="000000" w:themeColor="text1"/>
          <w:szCs w:val="24"/>
          <w:shd w:val="clear" w:color="auto" w:fill="FFFFFF"/>
        </w:rPr>
        <w:t>. Ponta Grossa: Atena, 2020.</w:t>
      </w:r>
    </w:p>
    <w:p w14:paraId="05733765" w14:textId="52EE39A7" w:rsidR="000D4DDD" w:rsidRDefault="000D4DDD" w:rsidP="000D4DDD">
      <w:pPr>
        <w:pStyle w:val="NormalWeb"/>
        <w:shd w:val="clear" w:color="auto" w:fill="FFFFFF"/>
        <w:spacing w:before="0" w:after="0"/>
        <w:jc w:val="both"/>
        <w:textAlignment w:val="baseline"/>
        <w:rPr>
          <w:bCs/>
          <w:color w:val="000000" w:themeColor="text1"/>
          <w:szCs w:val="24"/>
          <w:shd w:val="clear" w:color="auto" w:fill="FFFFFF"/>
        </w:rPr>
      </w:pPr>
      <w:r w:rsidRPr="000D4DDD">
        <w:rPr>
          <w:bCs/>
          <w:color w:val="000000" w:themeColor="text1"/>
          <w:szCs w:val="24"/>
          <w:shd w:val="clear" w:color="auto" w:fill="FFFFFF"/>
        </w:rPr>
        <w:t>CEPAL</w:t>
      </w:r>
      <w:r>
        <w:rPr>
          <w:bCs/>
          <w:color w:val="000000" w:themeColor="text1"/>
          <w:szCs w:val="24"/>
          <w:shd w:val="clear" w:color="auto" w:fill="FFFFFF"/>
        </w:rPr>
        <w:t>.</w:t>
      </w:r>
      <w:r w:rsidRPr="000D4DDD">
        <w:rPr>
          <w:bCs/>
          <w:color w:val="000000" w:themeColor="text1"/>
          <w:szCs w:val="24"/>
          <w:shd w:val="clear" w:color="auto" w:fill="FFFFFF"/>
        </w:rPr>
        <w:t xml:space="preserve"> </w:t>
      </w:r>
      <w:r w:rsidRPr="000D4DDD">
        <w:rPr>
          <w:b/>
          <w:color w:val="000000" w:themeColor="text1"/>
          <w:szCs w:val="24"/>
          <w:shd w:val="clear" w:color="auto" w:fill="FFFFFF"/>
        </w:rPr>
        <w:t>Cómo evitar que la crisis del COVID-19 se transforme en una crisis alimentaria</w:t>
      </w:r>
      <w:r w:rsidRPr="000D4DDD">
        <w:rPr>
          <w:bCs/>
          <w:color w:val="000000" w:themeColor="text1"/>
          <w:szCs w:val="24"/>
          <w:shd w:val="clear" w:color="auto" w:fill="FFFFFF"/>
        </w:rPr>
        <w:t xml:space="preserve"> - Acciones urgentes contra el hambre en América Latina y el Caribe. Informe COVID 19</w:t>
      </w:r>
      <w:r>
        <w:rPr>
          <w:bCs/>
          <w:color w:val="000000" w:themeColor="text1"/>
          <w:szCs w:val="24"/>
          <w:shd w:val="clear" w:color="auto" w:fill="FFFFFF"/>
        </w:rPr>
        <w:t>,</w:t>
      </w:r>
      <w:r w:rsidRPr="000D4DDD">
        <w:rPr>
          <w:bCs/>
          <w:color w:val="000000" w:themeColor="text1"/>
          <w:szCs w:val="24"/>
          <w:shd w:val="clear" w:color="auto" w:fill="FFFFFF"/>
        </w:rPr>
        <w:t xml:space="preserve"> 2020.</w:t>
      </w:r>
      <w:r>
        <w:rPr>
          <w:bCs/>
          <w:color w:val="000000" w:themeColor="text1"/>
          <w:szCs w:val="24"/>
          <w:shd w:val="clear" w:color="auto" w:fill="FFFFFF"/>
        </w:rPr>
        <w:t xml:space="preserve"> Disponível em: </w:t>
      </w:r>
      <w:hyperlink r:id="rId19" w:history="1">
        <w:r w:rsidR="00DC0917" w:rsidRPr="00DC0917">
          <w:rPr>
            <w:rStyle w:val="Hyperlink"/>
            <w:bCs/>
            <w:color w:val="auto"/>
            <w:szCs w:val="24"/>
            <w:u w:val="none"/>
            <w:shd w:val="clear" w:color="auto" w:fill="FFFFFF"/>
          </w:rPr>
          <w:t>https://www.cepal.org/sites/default/files/publication/</w:t>
        </w:r>
      </w:hyperlink>
      <w:r w:rsidRPr="000D4DDD">
        <w:rPr>
          <w:bCs/>
          <w:color w:val="000000" w:themeColor="text1"/>
          <w:szCs w:val="24"/>
          <w:shd w:val="clear" w:color="auto" w:fill="FFFFFF"/>
        </w:rPr>
        <w:t>files/45702/S2000393_</w:t>
      </w:r>
      <w:r w:rsidR="00DC0917">
        <w:rPr>
          <w:bCs/>
          <w:color w:val="000000" w:themeColor="text1"/>
          <w:szCs w:val="24"/>
          <w:shd w:val="clear" w:color="auto" w:fill="FFFFFF"/>
        </w:rPr>
        <w:t xml:space="preserve"> </w:t>
      </w:r>
      <w:r w:rsidRPr="000D4DDD">
        <w:rPr>
          <w:bCs/>
          <w:color w:val="000000" w:themeColor="text1"/>
          <w:szCs w:val="24"/>
          <w:shd w:val="clear" w:color="auto" w:fill="FFFFFF"/>
        </w:rPr>
        <w:t>es.pdf</w:t>
      </w:r>
      <w:r>
        <w:rPr>
          <w:bCs/>
          <w:color w:val="000000" w:themeColor="text1"/>
          <w:szCs w:val="24"/>
          <w:shd w:val="clear" w:color="auto" w:fill="FFFFFF"/>
        </w:rPr>
        <w:t>. Acesso em: 13 fev. 2021.</w:t>
      </w:r>
    </w:p>
    <w:p w14:paraId="438A8758" w14:textId="57F6B732" w:rsidR="00990A65" w:rsidRPr="00990A65" w:rsidRDefault="00990A65" w:rsidP="00990A65">
      <w:pPr>
        <w:pStyle w:val="NormalWeb"/>
        <w:shd w:val="clear" w:color="auto" w:fill="FFFFFF"/>
        <w:spacing w:before="0" w:after="0"/>
        <w:jc w:val="both"/>
        <w:textAlignment w:val="baseline"/>
        <w:rPr>
          <w:bCs/>
          <w:color w:val="000000" w:themeColor="text1"/>
          <w:szCs w:val="24"/>
          <w:shd w:val="clear" w:color="auto" w:fill="FFFFFF"/>
        </w:rPr>
      </w:pPr>
      <w:r w:rsidRPr="00990A65">
        <w:rPr>
          <w:bCs/>
          <w:color w:val="000000" w:themeColor="text1"/>
          <w:szCs w:val="24"/>
          <w:shd w:val="clear" w:color="auto" w:fill="FFFFFF"/>
        </w:rPr>
        <w:t xml:space="preserve">CONAB. </w:t>
      </w:r>
      <w:r w:rsidRPr="00990A65">
        <w:rPr>
          <w:b/>
          <w:color w:val="000000" w:themeColor="text1"/>
          <w:szCs w:val="24"/>
          <w:shd w:val="clear" w:color="auto" w:fill="FFFFFF"/>
        </w:rPr>
        <w:t>Séries históricas das safras</w:t>
      </w:r>
      <w:r w:rsidRPr="00990A65">
        <w:rPr>
          <w:bCs/>
          <w:color w:val="000000" w:themeColor="text1"/>
          <w:szCs w:val="24"/>
          <w:shd w:val="clear" w:color="auto" w:fill="FFFFFF"/>
        </w:rPr>
        <w:t>: Cana-de-açúcar-Indústria, 2022. Disponível em: https://www.conab.gov.br/info-agro/safras/serie-historica-das-safras/itemlist/category/893-cana-de-acucar-industria.</w:t>
      </w:r>
    </w:p>
    <w:p w14:paraId="34772166" w14:textId="77777777" w:rsidR="00990A65" w:rsidRPr="00990A65" w:rsidRDefault="00990A65" w:rsidP="00990A65">
      <w:p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shd w:val="clear" w:color="auto" w:fill="FFFFFF"/>
        </w:rPr>
      </w:pPr>
      <w:r w:rsidRPr="00990A65">
        <w:rPr>
          <w:rFonts w:ascii="Times New Roman" w:eastAsia="Times New Roman" w:hAnsi="Times New Roman" w:cs="Times New Roman"/>
          <w:bCs/>
          <w:color w:val="000000" w:themeColor="text1"/>
          <w:sz w:val="24"/>
          <w:szCs w:val="24"/>
          <w:shd w:val="clear" w:color="auto" w:fill="FFFFFF"/>
        </w:rPr>
        <w:t xml:space="preserve">FAO. </w:t>
      </w:r>
      <w:r w:rsidRPr="00990A65">
        <w:rPr>
          <w:rFonts w:ascii="Times New Roman" w:eastAsia="Times New Roman" w:hAnsi="Times New Roman" w:cs="Times New Roman"/>
          <w:b/>
          <w:color w:val="000000" w:themeColor="text1"/>
          <w:sz w:val="24"/>
          <w:szCs w:val="24"/>
          <w:shd w:val="clear" w:color="auto" w:fill="FFFFFF"/>
        </w:rPr>
        <w:t>FAOSTAT</w:t>
      </w:r>
      <w:r w:rsidRPr="00990A65">
        <w:rPr>
          <w:rFonts w:ascii="Times New Roman" w:eastAsia="Times New Roman" w:hAnsi="Times New Roman" w:cs="Times New Roman"/>
          <w:bCs/>
          <w:color w:val="000000" w:themeColor="text1"/>
          <w:sz w:val="24"/>
          <w:szCs w:val="24"/>
          <w:shd w:val="clear" w:color="auto" w:fill="FFFFFF"/>
        </w:rPr>
        <w:t xml:space="preserve">: Índices Comerciales. Organização das Nações Unidas para Alimentação e Agricultura, 2021. Disponível em </w:t>
      </w:r>
      <w:hyperlink r:id="rId20" w:anchor="data/TI" w:history="1">
        <w:r w:rsidRPr="00990A65">
          <w:rPr>
            <w:rFonts w:ascii="Times New Roman" w:eastAsia="Times New Roman" w:hAnsi="Times New Roman" w:cs="Times New Roman"/>
            <w:bCs/>
            <w:color w:val="000000" w:themeColor="text1"/>
            <w:sz w:val="24"/>
            <w:szCs w:val="24"/>
            <w:shd w:val="clear" w:color="auto" w:fill="FFFFFF"/>
          </w:rPr>
          <w:t>http://www.fao.org/faostat/es/#data/TI</w:t>
        </w:r>
      </w:hyperlink>
      <w:r w:rsidRPr="00990A65">
        <w:rPr>
          <w:rFonts w:ascii="Times New Roman" w:eastAsia="Times New Roman" w:hAnsi="Times New Roman" w:cs="Times New Roman"/>
          <w:bCs/>
          <w:color w:val="000000" w:themeColor="text1"/>
          <w:sz w:val="24"/>
          <w:szCs w:val="24"/>
          <w:shd w:val="clear" w:color="auto" w:fill="FFFFFF"/>
        </w:rPr>
        <w:t>. Acesso em 14 de junho de 2021.</w:t>
      </w:r>
    </w:p>
    <w:p w14:paraId="59490525" w14:textId="77777777" w:rsidR="00990A65" w:rsidRPr="00990A65" w:rsidRDefault="00990A65" w:rsidP="00990A65">
      <w:pPr>
        <w:pStyle w:val="NormalWeb"/>
        <w:shd w:val="clear" w:color="auto" w:fill="FFFFFF"/>
        <w:spacing w:before="0" w:after="0"/>
        <w:jc w:val="both"/>
        <w:textAlignment w:val="baseline"/>
        <w:rPr>
          <w:bCs/>
          <w:color w:val="000000" w:themeColor="text1"/>
          <w:szCs w:val="24"/>
          <w:shd w:val="clear" w:color="auto" w:fill="FFFFFF"/>
        </w:rPr>
      </w:pPr>
      <w:r w:rsidRPr="00990A65">
        <w:rPr>
          <w:bCs/>
          <w:color w:val="000000" w:themeColor="text1"/>
          <w:szCs w:val="24"/>
          <w:shd w:val="clear" w:color="auto" w:fill="FFFFFF"/>
        </w:rPr>
        <w:t xml:space="preserve">FAO. </w:t>
      </w:r>
      <w:r w:rsidRPr="00990A65">
        <w:rPr>
          <w:b/>
          <w:color w:val="000000" w:themeColor="text1"/>
          <w:szCs w:val="24"/>
          <w:shd w:val="clear" w:color="auto" w:fill="FFFFFF"/>
        </w:rPr>
        <w:t>Índice de precios de los alimentos de la FAO</w:t>
      </w:r>
      <w:r w:rsidRPr="00990A65">
        <w:rPr>
          <w:bCs/>
          <w:color w:val="000000" w:themeColor="text1"/>
          <w:szCs w:val="24"/>
          <w:shd w:val="clear" w:color="auto" w:fill="FFFFFF"/>
        </w:rPr>
        <w:t xml:space="preserve">. Situación Alimentaria Mundial, 2022. Disponível em: </w:t>
      </w:r>
      <w:hyperlink r:id="rId21" w:history="1">
        <w:r w:rsidRPr="00990A65">
          <w:rPr>
            <w:color w:val="000000" w:themeColor="text1"/>
            <w:szCs w:val="24"/>
          </w:rPr>
          <w:t>http://www.fao.org/worldfoodsituation/foodpricesindex/es/</w:t>
        </w:r>
      </w:hyperlink>
      <w:r w:rsidRPr="00990A65">
        <w:rPr>
          <w:bCs/>
          <w:color w:val="000000" w:themeColor="text1"/>
          <w:szCs w:val="24"/>
          <w:shd w:val="clear" w:color="auto" w:fill="FFFFFF"/>
        </w:rPr>
        <w:t>. Acesso em: 15 fev. 2022.</w:t>
      </w:r>
    </w:p>
    <w:p w14:paraId="61573408" w14:textId="77777777" w:rsidR="00990A65" w:rsidRPr="00990A65" w:rsidRDefault="00990A65" w:rsidP="00990A65">
      <w:pPr>
        <w:pStyle w:val="NormalWeb"/>
        <w:shd w:val="clear" w:color="auto" w:fill="FFFFFF"/>
        <w:spacing w:after="0"/>
        <w:jc w:val="both"/>
        <w:textAlignment w:val="baseline"/>
        <w:rPr>
          <w:bCs/>
          <w:color w:val="000000" w:themeColor="text1"/>
          <w:szCs w:val="24"/>
          <w:shd w:val="clear" w:color="auto" w:fill="FFFFFF"/>
        </w:rPr>
      </w:pPr>
      <w:r w:rsidRPr="00990A65">
        <w:rPr>
          <w:bCs/>
          <w:color w:val="000000" w:themeColor="text1"/>
          <w:szCs w:val="24"/>
          <w:shd w:val="clear" w:color="auto" w:fill="FFFFFF"/>
        </w:rPr>
        <w:t xml:space="preserve">FAO; IFAD; UNICEF; WFP; WHO. </w:t>
      </w:r>
      <w:r w:rsidRPr="00990A65">
        <w:rPr>
          <w:b/>
          <w:color w:val="000000" w:themeColor="text1"/>
          <w:szCs w:val="24"/>
          <w:shd w:val="clear" w:color="auto" w:fill="FFFFFF"/>
        </w:rPr>
        <w:t>The State of Food Security and Nutrition in the World 2020 (SOFI)</w:t>
      </w:r>
      <w:r w:rsidRPr="00990A65">
        <w:rPr>
          <w:bCs/>
          <w:color w:val="000000" w:themeColor="text1"/>
          <w:szCs w:val="24"/>
          <w:shd w:val="clear" w:color="auto" w:fill="FFFFFF"/>
        </w:rPr>
        <w:t>. FAO, IFAD, UNICEF, WFP, WHO, Roma, 2020. Disponível em: http://www.fao.org/publications/sofi/en/. Acesso em: 11 nov. 2022.</w:t>
      </w:r>
    </w:p>
    <w:p w14:paraId="6973FDB5" w14:textId="77777777" w:rsidR="00990A65" w:rsidRPr="00990A65" w:rsidRDefault="00990A65" w:rsidP="00990A65">
      <w:pPr>
        <w:pStyle w:val="NormalWeb"/>
        <w:shd w:val="clear" w:color="auto" w:fill="FFFFFF"/>
        <w:spacing w:after="0"/>
        <w:jc w:val="both"/>
        <w:textAlignment w:val="baseline"/>
        <w:rPr>
          <w:bCs/>
          <w:color w:val="000000" w:themeColor="text1"/>
          <w:szCs w:val="24"/>
          <w:shd w:val="clear" w:color="auto" w:fill="FFFFFF"/>
        </w:rPr>
      </w:pPr>
      <w:r w:rsidRPr="00990A65">
        <w:rPr>
          <w:bCs/>
          <w:color w:val="000000" w:themeColor="text1"/>
          <w:szCs w:val="24"/>
          <w:shd w:val="clear" w:color="auto" w:fill="FFFFFF"/>
        </w:rPr>
        <w:t xml:space="preserve">FAO; IFAD; WFP. </w:t>
      </w:r>
      <w:r w:rsidRPr="00990A65">
        <w:rPr>
          <w:b/>
          <w:color w:val="000000" w:themeColor="text1"/>
          <w:szCs w:val="24"/>
          <w:shd w:val="clear" w:color="auto" w:fill="FFFFFF"/>
        </w:rPr>
        <w:t>The State of Insecurity in the World</w:t>
      </w:r>
      <w:r w:rsidRPr="00990A65">
        <w:rPr>
          <w:bCs/>
          <w:color w:val="000000" w:themeColor="text1"/>
          <w:szCs w:val="24"/>
          <w:shd w:val="clear" w:color="auto" w:fill="FFFFFF"/>
        </w:rPr>
        <w:t>. FAO, Roma, 2015. Disponível em: http://www.fao.org/3/i4646e/i4646e.pdf. Acesso em: 11 nov. 2022.</w:t>
      </w:r>
    </w:p>
    <w:p w14:paraId="21D8EAB0" w14:textId="77777777" w:rsidR="00990A65" w:rsidRPr="00990A65" w:rsidRDefault="00990A65" w:rsidP="00990A65">
      <w:pPr>
        <w:pStyle w:val="NormalWeb"/>
        <w:shd w:val="clear" w:color="auto" w:fill="FFFFFF"/>
        <w:spacing w:before="0" w:after="0"/>
        <w:jc w:val="both"/>
        <w:textAlignment w:val="baseline"/>
        <w:rPr>
          <w:bCs/>
          <w:color w:val="000000" w:themeColor="text1"/>
          <w:szCs w:val="24"/>
          <w:shd w:val="clear" w:color="auto" w:fill="FFFFFF"/>
        </w:rPr>
      </w:pPr>
      <w:r w:rsidRPr="00990A65">
        <w:rPr>
          <w:bCs/>
          <w:color w:val="000000" w:themeColor="text1"/>
          <w:szCs w:val="24"/>
          <w:shd w:val="clear" w:color="auto" w:fill="FFFFFF"/>
        </w:rPr>
        <w:t xml:space="preserve">GOMES, M. S. </w:t>
      </w:r>
      <w:r w:rsidRPr="00990A65">
        <w:rPr>
          <w:b/>
          <w:color w:val="000000" w:themeColor="text1"/>
          <w:szCs w:val="24"/>
          <w:shd w:val="clear" w:color="auto" w:fill="FFFFFF"/>
        </w:rPr>
        <w:t>Estudo da pasteurização de suco de laranja utilizando ultrafiltração</w:t>
      </w:r>
      <w:r w:rsidRPr="00990A65">
        <w:rPr>
          <w:bCs/>
          <w:color w:val="000000" w:themeColor="text1"/>
          <w:szCs w:val="24"/>
          <w:shd w:val="clear" w:color="auto" w:fill="FFFFFF"/>
        </w:rPr>
        <w:t xml:space="preserve">. Dissertação (Mestrado em Engenharia química) - Universidade Federal do Rio Grande do Sul, Rio Grande do Sul, 2006. Disponível em: </w:t>
      </w:r>
      <w:hyperlink r:id="rId22" w:history="1">
        <w:r w:rsidRPr="00990A65">
          <w:rPr>
            <w:color w:val="000000" w:themeColor="text1"/>
            <w:szCs w:val="24"/>
          </w:rPr>
          <w:t>http://hdl.handle.net/</w:t>
        </w:r>
      </w:hyperlink>
      <w:r w:rsidRPr="00990A65">
        <w:rPr>
          <w:bCs/>
          <w:color w:val="000000" w:themeColor="text1"/>
          <w:szCs w:val="24"/>
          <w:shd w:val="clear" w:color="auto" w:fill="FFFFFF"/>
        </w:rPr>
        <w:t xml:space="preserve"> 10183/12560.</w:t>
      </w:r>
    </w:p>
    <w:p w14:paraId="19B024ED" w14:textId="491D5290" w:rsidR="00990A65" w:rsidRPr="00990A65" w:rsidRDefault="00990A65" w:rsidP="00990A65">
      <w:pPr>
        <w:pStyle w:val="NormalWeb"/>
        <w:shd w:val="clear" w:color="auto" w:fill="FFFFFF"/>
        <w:spacing w:before="0" w:after="0"/>
        <w:jc w:val="both"/>
        <w:textAlignment w:val="baseline"/>
        <w:rPr>
          <w:bCs/>
          <w:color w:val="000000" w:themeColor="text1"/>
          <w:szCs w:val="24"/>
          <w:shd w:val="clear" w:color="auto" w:fill="FFFFFF"/>
        </w:rPr>
      </w:pPr>
      <w:r w:rsidRPr="00990A65">
        <w:rPr>
          <w:bCs/>
          <w:color w:val="000000" w:themeColor="text1"/>
          <w:szCs w:val="24"/>
          <w:shd w:val="clear" w:color="auto" w:fill="FFFFFF"/>
        </w:rPr>
        <w:lastRenderedPageBreak/>
        <w:t xml:space="preserve">GONÇALVES, R.; BAUMANN, R.; PRADO, L.C.D.; CANUTO, O. </w:t>
      </w:r>
      <w:r w:rsidRPr="00990A65">
        <w:rPr>
          <w:b/>
          <w:color w:val="000000" w:themeColor="text1"/>
          <w:szCs w:val="24"/>
          <w:shd w:val="clear" w:color="auto" w:fill="FFFFFF"/>
        </w:rPr>
        <w:t>A nova economia internacional</w:t>
      </w:r>
      <w:r w:rsidRPr="00990A65">
        <w:rPr>
          <w:bCs/>
          <w:color w:val="000000" w:themeColor="text1"/>
          <w:szCs w:val="24"/>
          <w:shd w:val="clear" w:color="auto" w:fill="FFFFFF"/>
        </w:rPr>
        <w:t xml:space="preserve"> – uma perspectiva brasileira. Rio de Janeiro: Editora Campus, 1998.</w:t>
      </w:r>
    </w:p>
    <w:p w14:paraId="15855A6A" w14:textId="074EEAB9" w:rsidR="00990A65" w:rsidRPr="00990A65" w:rsidRDefault="00990A65" w:rsidP="00990A65">
      <w:pPr>
        <w:spacing w:after="0" w:line="240" w:lineRule="auto"/>
        <w:jc w:val="both"/>
        <w:rPr>
          <w:rFonts w:ascii="Times New Roman" w:eastAsia="Times New Roman" w:hAnsi="Times New Roman" w:cs="Times New Roman"/>
          <w:bCs/>
          <w:color w:val="000000" w:themeColor="text1"/>
          <w:sz w:val="24"/>
          <w:szCs w:val="24"/>
          <w:shd w:val="clear" w:color="auto" w:fill="FFFFFF"/>
        </w:rPr>
      </w:pPr>
      <w:r w:rsidRPr="00990A65">
        <w:rPr>
          <w:rFonts w:ascii="Times New Roman" w:eastAsia="Times New Roman" w:hAnsi="Times New Roman" w:cs="Times New Roman"/>
          <w:bCs/>
          <w:color w:val="000000" w:themeColor="text1"/>
          <w:sz w:val="24"/>
          <w:szCs w:val="24"/>
          <w:shd w:val="clear" w:color="auto" w:fill="FFFFFF"/>
        </w:rPr>
        <w:t xml:space="preserve">IBGE. </w:t>
      </w:r>
      <w:r w:rsidRPr="00990A65">
        <w:rPr>
          <w:rFonts w:ascii="Times New Roman" w:eastAsia="Times New Roman" w:hAnsi="Times New Roman" w:cs="Times New Roman"/>
          <w:b/>
          <w:color w:val="000000" w:themeColor="text1"/>
          <w:sz w:val="24"/>
          <w:szCs w:val="24"/>
          <w:shd w:val="clear" w:color="auto" w:fill="FFFFFF"/>
        </w:rPr>
        <w:t>Pesquisa Nacional por Amostra de Domicílios 2003-04</w:t>
      </w:r>
      <w:r w:rsidRPr="00990A65">
        <w:rPr>
          <w:rFonts w:ascii="Times New Roman" w:eastAsia="Times New Roman" w:hAnsi="Times New Roman" w:cs="Times New Roman"/>
          <w:bCs/>
          <w:color w:val="000000" w:themeColor="text1"/>
          <w:sz w:val="24"/>
          <w:szCs w:val="24"/>
          <w:shd w:val="clear" w:color="auto" w:fill="FFFFFF"/>
        </w:rPr>
        <w:t>. Instituto Brasileiro de Geografia e Estatística, Rio de Janeiro: IBGE, 2006.</w:t>
      </w:r>
    </w:p>
    <w:p w14:paraId="37EA3E78" w14:textId="77777777" w:rsidR="00990A65" w:rsidRPr="00990A65" w:rsidRDefault="00990A65" w:rsidP="00990A65">
      <w:pPr>
        <w:pStyle w:val="NormalWeb"/>
        <w:shd w:val="clear" w:color="auto" w:fill="FFFFFF"/>
        <w:spacing w:before="0" w:after="0"/>
        <w:jc w:val="both"/>
        <w:textAlignment w:val="baseline"/>
        <w:rPr>
          <w:bCs/>
          <w:color w:val="000000" w:themeColor="text1"/>
          <w:szCs w:val="24"/>
          <w:shd w:val="clear" w:color="auto" w:fill="FFFFFF"/>
        </w:rPr>
      </w:pPr>
      <w:r w:rsidRPr="00990A65">
        <w:rPr>
          <w:bCs/>
          <w:color w:val="000000" w:themeColor="text1"/>
          <w:szCs w:val="24"/>
          <w:shd w:val="clear" w:color="auto" w:fill="FFFFFF"/>
        </w:rPr>
        <w:t xml:space="preserve">IBGE. </w:t>
      </w:r>
      <w:r w:rsidRPr="00990A65">
        <w:rPr>
          <w:b/>
          <w:color w:val="000000" w:themeColor="text1"/>
          <w:szCs w:val="24"/>
          <w:shd w:val="clear" w:color="auto" w:fill="FFFFFF"/>
        </w:rPr>
        <w:t>Contagem da População</w:t>
      </w:r>
      <w:r w:rsidRPr="00990A65">
        <w:rPr>
          <w:bCs/>
          <w:color w:val="000000" w:themeColor="text1"/>
          <w:szCs w:val="24"/>
          <w:shd w:val="clear" w:color="auto" w:fill="FFFFFF"/>
        </w:rPr>
        <w:t>: População residente. Sistema IBGE de Recuperação Automática – SIDRA, 2007. Disponível em: https://sidra.ibge.gov.br/tabela/793. Acesso em: 25 abr. 2022.</w:t>
      </w:r>
    </w:p>
    <w:p w14:paraId="306B50A5" w14:textId="77777777" w:rsidR="00990A65" w:rsidRPr="00990A65" w:rsidRDefault="00990A65" w:rsidP="00990A65">
      <w:pPr>
        <w:spacing w:after="0" w:line="240" w:lineRule="auto"/>
        <w:jc w:val="both"/>
        <w:rPr>
          <w:rFonts w:ascii="Times New Roman" w:eastAsia="Times New Roman" w:hAnsi="Times New Roman" w:cs="Times New Roman"/>
          <w:bCs/>
          <w:color w:val="000000" w:themeColor="text1"/>
          <w:sz w:val="24"/>
          <w:szCs w:val="24"/>
          <w:shd w:val="clear" w:color="auto" w:fill="FFFFFF"/>
        </w:rPr>
      </w:pPr>
      <w:r w:rsidRPr="00990A65">
        <w:rPr>
          <w:rFonts w:ascii="Times New Roman" w:eastAsia="Times New Roman" w:hAnsi="Times New Roman" w:cs="Times New Roman"/>
          <w:bCs/>
          <w:color w:val="000000" w:themeColor="text1"/>
          <w:sz w:val="24"/>
          <w:szCs w:val="24"/>
          <w:shd w:val="clear" w:color="auto" w:fill="FFFFFF"/>
        </w:rPr>
        <w:t xml:space="preserve">IBGE. </w:t>
      </w:r>
      <w:r w:rsidRPr="00990A65">
        <w:rPr>
          <w:rFonts w:ascii="Times New Roman" w:eastAsia="Times New Roman" w:hAnsi="Times New Roman" w:cs="Times New Roman"/>
          <w:b/>
          <w:color w:val="000000" w:themeColor="text1"/>
          <w:sz w:val="24"/>
          <w:szCs w:val="24"/>
          <w:shd w:val="clear" w:color="auto" w:fill="FFFFFF"/>
        </w:rPr>
        <w:t>Pesquisa Nacional por Amostra de Domicílios 2008-09</w:t>
      </w:r>
      <w:r w:rsidRPr="00990A65">
        <w:rPr>
          <w:rFonts w:ascii="Times New Roman" w:eastAsia="Times New Roman" w:hAnsi="Times New Roman" w:cs="Times New Roman"/>
          <w:bCs/>
          <w:color w:val="000000" w:themeColor="text1"/>
          <w:sz w:val="24"/>
          <w:szCs w:val="24"/>
          <w:shd w:val="clear" w:color="auto" w:fill="FFFFFF"/>
        </w:rPr>
        <w:t>. Instituto Brasileiro de Geografia e Estatística, Rio de Janeiro, 2009.</w:t>
      </w:r>
    </w:p>
    <w:p w14:paraId="2001959F" w14:textId="77777777" w:rsidR="00990A65" w:rsidRPr="00990A65" w:rsidRDefault="00990A65" w:rsidP="00990A65">
      <w:pPr>
        <w:pStyle w:val="NormalWeb"/>
        <w:shd w:val="clear" w:color="auto" w:fill="FFFFFF"/>
        <w:spacing w:before="0" w:after="0"/>
        <w:jc w:val="both"/>
        <w:textAlignment w:val="baseline"/>
        <w:rPr>
          <w:bCs/>
          <w:color w:val="000000" w:themeColor="text1"/>
          <w:szCs w:val="24"/>
          <w:shd w:val="clear" w:color="auto" w:fill="FFFFFF"/>
        </w:rPr>
      </w:pPr>
      <w:r w:rsidRPr="00990A65">
        <w:rPr>
          <w:bCs/>
          <w:color w:val="000000" w:themeColor="text1"/>
          <w:szCs w:val="24"/>
          <w:shd w:val="clear" w:color="auto" w:fill="FFFFFF"/>
        </w:rPr>
        <w:t xml:space="preserve">IBGE. </w:t>
      </w:r>
      <w:r w:rsidRPr="00990A65">
        <w:rPr>
          <w:b/>
          <w:color w:val="000000" w:themeColor="text1"/>
          <w:szCs w:val="24"/>
          <w:shd w:val="clear" w:color="auto" w:fill="FFFFFF"/>
        </w:rPr>
        <w:t>Censo Demográfico 2010</w:t>
      </w:r>
      <w:r w:rsidRPr="00990A65">
        <w:rPr>
          <w:bCs/>
          <w:color w:val="000000" w:themeColor="text1"/>
          <w:szCs w:val="24"/>
          <w:shd w:val="clear" w:color="auto" w:fill="FFFFFF"/>
        </w:rPr>
        <w:t>: População e Distribuição da população pelas Grandes Regiões e Unidades da Federação nos Censos Demográficos. Sistema IBGE de Recuperação Automática – SIDRA, 2010. Disponível em: https://sidra.ibge.gov.br/tabela/1286. Acesso em: 25 abr. 2022.</w:t>
      </w:r>
    </w:p>
    <w:p w14:paraId="77D5B9C5" w14:textId="77777777" w:rsidR="00990A65" w:rsidRPr="00990A65" w:rsidRDefault="00990A65" w:rsidP="00990A65">
      <w:pPr>
        <w:spacing w:after="0" w:line="240" w:lineRule="auto"/>
        <w:jc w:val="both"/>
        <w:rPr>
          <w:rFonts w:ascii="Times New Roman" w:eastAsia="Times New Roman" w:hAnsi="Times New Roman" w:cs="Times New Roman"/>
          <w:bCs/>
          <w:color w:val="000000" w:themeColor="text1"/>
          <w:sz w:val="24"/>
          <w:szCs w:val="24"/>
          <w:shd w:val="clear" w:color="auto" w:fill="FFFFFF"/>
        </w:rPr>
      </w:pPr>
      <w:r w:rsidRPr="00990A65">
        <w:rPr>
          <w:rFonts w:ascii="Times New Roman" w:eastAsia="Times New Roman" w:hAnsi="Times New Roman" w:cs="Times New Roman"/>
          <w:bCs/>
          <w:color w:val="000000" w:themeColor="text1"/>
          <w:sz w:val="24"/>
          <w:szCs w:val="24"/>
          <w:shd w:val="clear" w:color="auto" w:fill="FFFFFF"/>
        </w:rPr>
        <w:t xml:space="preserve">IBGE. </w:t>
      </w:r>
      <w:r w:rsidRPr="00990A65">
        <w:rPr>
          <w:rFonts w:ascii="Times New Roman" w:eastAsia="Times New Roman" w:hAnsi="Times New Roman" w:cs="Times New Roman"/>
          <w:b/>
          <w:color w:val="000000" w:themeColor="text1"/>
          <w:sz w:val="24"/>
          <w:szCs w:val="24"/>
          <w:shd w:val="clear" w:color="auto" w:fill="FFFFFF"/>
        </w:rPr>
        <w:t>Pesquisa Nacional por Amostra de Domicílios 2013-14</w:t>
      </w:r>
      <w:r w:rsidRPr="00990A65">
        <w:rPr>
          <w:rFonts w:ascii="Times New Roman" w:eastAsia="Times New Roman" w:hAnsi="Times New Roman" w:cs="Times New Roman"/>
          <w:bCs/>
          <w:color w:val="000000" w:themeColor="text1"/>
          <w:sz w:val="24"/>
          <w:szCs w:val="24"/>
          <w:shd w:val="clear" w:color="auto" w:fill="FFFFFF"/>
        </w:rPr>
        <w:t>. Instituto Brasileiro de Geografia e Estatística, Rio de Janeiro, 2015.</w:t>
      </w:r>
    </w:p>
    <w:p w14:paraId="5D449F91" w14:textId="77777777" w:rsidR="00990A65" w:rsidRPr="00990A65" w:rsidRDefault="00990A65" w:rsidP="00990A65">
      <w:pPr>
        <w:spacing w:after="0" w:line="240" w:lineRule="auto"/>
        <w:jc w:val="both"/>
        <w:rPr>
          <w:rFonts w:ascii="Times New Roman" w:eastAsia="Times New Roman" w:hAnsi="Times New Roman" w:cs="Times New Roman"/>
          <w:bCs/>
          <w:color w:val="000000" w:themeColor="text1"/>
          <w:sz w:val="24"/>
          <w:szCs w:val="24"/>
          <w:shd w:val="clear" w:color="auto" w:fill="FFFFFF"/>
        </w:rPr>
      </w:pPr>
      <w:r w:rsidRPr="00990A65">
        <w:rPr>
          <w:rFonts w:ascii="Times New Roman" w:eastAsia="Times New Roman" w:hAnsi="Times New Roman" w:cs="Times New Roman"/>
          <w:bCs/>
          <w:color w:val="000000" w:themeColor="text1"/>
          <w:sz w:val="24"/>
          <w:szCs w:val="24"/>
          <w:shd w:val="clear" w:color="auto" w:fill="FFFFFF"/>
        </w:rPr>
        <w:t xml:space="preserve">IBGE. </w:t>
      </w:r>
      <w:r w:rsidRPr="00990A65">
        <w:rPr>
          <w:rFonts w:ascii="Times New Roman" w:eastAsia="Times New Roman" w:hAnsi="Times New Roman" w:cs="Times New Roman"/>
          <w:b/>
          <w:color w:val="000000" w:themeColor="text1"/>
          <w:sz w:val="24"/>
          <w:szCs w:val="24"/>
          <w:shd w:val="clear" w:color="auto" w:fill="FFFFFF"/>
        </w:rPr>
        <w:t>Pesquisa de Orçamentos Familiares 2017-18</w:t>
      </w:r>
      <w:r w:rsidRPr="00990A65">
        <w:rPr>
          <w:rFonts w:ascii="Times New Roman" w:eastAsia="Times New Roman" w:hAnsi="Times New Roman" w:cs="Times New Roman"/>
          <w:bCs/>
          <w:color w:val="000000" w:themeColor="text1"/>
          <w:sz w:val="24"/>
          <w:szCs w:val="24"/>
          <w:shd w:val="clear" w:color="auto" w:fill="FFFFFF"/>
        </w:rPr>
        <w:t xml:space="preserve"> - Avaliação nutricional da disponibilidade domiciliar de alimentos no Brasil. Instituto Brasileiro de Geografia e Estatística, Rio de Janeiro, 2020a.</w:t>
      </w:r>
    </w:p>
    <w:p w14:paraId="22D17C3E" w14:textId="0B765C6F" w:rsidR="00990A65" w:rsidRPr="00990A65" w:rsidRDefault="00990A65" w:rsidP="00990A65">
      <w:pPr>
        <w:spacing w:after="0" w:line="240" w:lineRule="auto"/>
        <w:jc w:val="both"/>
        <w:rPr>
          <w:rFonts w:ascii="Times New Roman" w:eastAsia="Times New Roman" w:hAnsi="Times New Roman" w:cs="Times New Roman"/>
          <w:bCs/>
          <w:color w:val="000000" w:themeColor="text1"/>
          <w:sz w:val="24"/>
          <w:szCs w:val="24"/>
          <w:shd w:val="clear" w:color="auto" w:fill="FFFFFF"/>
        </w:rPr>
      </w:pPr>
      <w:r w:rsidRPr="00990A65">
        <w:rPr>
          <w:rFonts w:ascii="Times New Roman" w:eastAsia="Times New Roman" w:hAnsi="Times New Roman" w:cs="Times New Roman"/>
          <w:bCs/>
          <w:color w:val="000000" w:themeColor="text1"/>
          <w:sz w:val="24"/>
          <w:szCs w:val="24"/>
          <w:shd w:val="clear" w:color="auto" w:fill="FFFFFF"/>
        </w:rPr>
        <w:t xml:space="preserve">IBGE. </w:t>
      </w:r>
      <w:r w:rsidRPr="00990A65">
        <w:rPr>
          <w:rFonts w:ascii="Times New Roman" w:eastAsia="Times New Roman" w:hAnsi="Times New Roman" w:cs="Times New Roman"/>
          <w:b/>
          <w:color w:val="000000" w:themeColor="text1"/>
          <w:sz w:val="24"/>
          <w:szCs w:val="24"/>
          <w:shd w:val="clear" w:color="auto" w:fill="FFFFFF"/>
        </w:rPr>
        <w:t>Sistema Nacional de Índices de Preços ao Consumidor:</w:t>
      </w:r>
      <w:r w:rsidRPr="00990A65">
        <w:rPr>
          <w:rFonts w:ascii="Times New Roman" w:eastAsia="Times New Roman" w:hAnsi="Times New Roman" w:cs="Times New Roman"/>
          <w:bCs/>
          <w:color w:val="000000" w:themeColor="text1"/>
          <w:sz w:val="24"/>
          <w:szCs w:val="24"/>
          <w:shd w:val="clear" w:color="auto" w:fill="FFFFFF"/>
        </w:rPr>
        <w:t xml:space="preserve"> Estruturas de ponderação a partir da Pesquisa de Orçamentos Familiares 2017-2018. Rio de Janeiro, 2020b. Disponível em: https://biblioteca.ibge.gov.br/visualizacao/livros/liv101711.pdf. Acesso em: 30 jan. 2022.</w:t>
      </w:r>
    </w:p>
    <w:p w14:paraId="59980FD8" w14:textId="77777777" w:rsidR="00990A65" w:rsidRPr="00990A65" w:rsidRDefault="00990A65" w:rsidP="00990A65">
      <w:pPr>
        <w:pStyle w:val="NormalWeb"/>
        <w:shd w:val="clear" w:color="auto" w:fill="FFFFFF"/>
        <w:spacing w:before="0" w:after="0"/>
        <w:jc w:val="both"/>
        <w:textAlignment w:val="baseline"/>
        <w:rPr>
          <w:bCs/>
          <w:color w:val="000000" w:themeColor="text1"/>
          <w:szCs w:val="24"/>
          <w:shd w:val="clear" w:color="auto" w:fill="FFFFFF"/>
        </w:rPr>
      </w:pPr>
      <w:r w:rsidRPr="00990A65">
        <w:rPr>
          <w:bCs/>
          <w:color w:val="000000" w:themeColor="text1"/>
          <w:szCs w:val="24"/>
          <w:shd w:val="clear" w:color="auto" w:fill="FFFFFF"/>
        </w:rPr>
        <w:t xml:space="preserve">IBGE. </w:t>
      </w:r>
      <w:r w:rsidRPr="00990A65">
        <w:rPr>
          <w:b/>
          <w:color w:val="000000" w:themeColor="text1"/>
          <w:szCs w:val="24"/>
          <w:shd w:val="clear" w:color="auto" w:fill="FFFFFF"/>
        </w:rPr>
        <w:t>Estimativas de População</w:t>
      </w:r>
      <w:r w:rsidRPr="00990A65">
        <w:rPr>
          <w:bCs/>
          <w:color w:val="000000" w:themeColor="text1"/>
          <w:szCs w:val="24"/>
          <w:shd w:val="clear" w:color="auto" w:fill="FFFFFF"/>
        </w:rPr>
        <w:t xml:space="preserve">: População residente estimada. Sistema IBGE de Recuperação Automática – SIDRA, 2022a. Disponível em: </w:t>
      </w:r>
      <w:hyperlink r:id="rId23" w:history="1">
        <w:r w:rsidRPr="00990A65">
          <w:rPr>
            <w:color w:val="000000" w:themeColor="text1"/>
            <w:szCs w:val="24"/>
          </w:rPr>
          <w:t>https://sidra.ibge.gov.br/</w:t>
        </w:r>
      </w:hyperlink>
      <w:r w:rsidRPr="00990A65">
        <w:rPr>
          <w:bCs/>
          <w:color w:val="000000" w:themeColor="text1"/>
          <w:szCs w:val="24"/>
          <w:shd w:val="clear" w:color="auto" w:fill="FFFFFF"/>
        </w:rPr>
        <w:t xml:space="preserve"> tabela/6579. Acesso em: 25 abr. 2022.</w:t>
      </w:r>
    </w:p>
    <w:p w14:paraId="39A4A996" w14:textId="77777777" w:rsidR="00990A65" w:rsidRPr="00990A65" w:rsidRDefault="00990A65" w:rsidP="00990A65">
      <w:pPr>
        <w:pStyle w:val="NormalWeb"/>
        <w:shd w:val="clear" w:color="auto" w:fill="FFFFFF"/>
        <w:spacing w:before="0" w:after="0"/>
        <w:jc w:val="both"/>
        <w:textAlignment w:val="baseline"/>
        <w:rPr>
          <w:bCs/>
          <w:color w:val="000000" w:themeColor="text1"/>
          <w:szCs w:val="24"/>
          <w:shd w:val="clear" w:color="auto" w:fill="FFFFFF"/>
        </w:rPr>
      </w:pPr>
      <w:r w:rsidRPr="00990A65">
        <w:rPr>
          <w:bCs/>
          <w:color w:val="000000" w:themeColor="text1"/>
          <w:szCs w:val="24"/>
          <w:shd w:val="clear" w:color="auto" w:fill="FFFFFF"/>
        </w:rPr>
        <w:t xml:space="preserve">IBGE. </w:t>
      </w:r>
      <w:r w:rsidRPr="00990A65">
        <w:rPr>
          <w:b/>
          <w:color w:val="000000" w:themeColor="text1"/>
          <w:szCs w:val="24"/>
          <w:shd w:val="clear" w:color="auto" w:fill="FFFFFF"/>
        </w:rPr>
        <w:t>Índice Nacional de Preços ao Consumidor Amplo</w:t>
      </w:r>
      <w:r w:rsidRPr="00990A65">
        <w:rPr>
          <w:bCs/>
          <w:color w:val="000000" w:themeColor="text1"/>
          <w:szCs w:val="24"/>
          <w:shd w:val="clear" w:color="auto" w:fill="FFFFFF"/>
        </w:rPr>
        <w:t xml:space="preserve">. Sistema IBGE de Recuperação Automática – SIDRA, 2022b. Disponível em: </w:t>
      </w:r>
      <w:hyperlink r:id="rId24" w:history="1">
        <w:r w:rsidRPr="00990A65">
          <w:rPr>
            <w:color w:val="000000" w:themeColor="text1"/>
            <w:szCs w:val="24"/>
          </w:rPr>
          <w:t>https://sidra</w:t>
        </w:r>
      </w:hyperlink>
      <w:r w:rsidRPr="00990A65">
        <w:rPr>
          <w:bCs/>
          <w:color w:val="000000" w:themeColor="text1"/>
          <w:szCs w:val="24"/>
          <w:shd w:val="clear" w:color="auto" w:fill="FFFFFF"/>
        </w:rPr>
        <w:t>.ibge.gov.br/home/ipca/brasil. Acesso em: 15 abr. 2022.</w:t>
      </w:r>
    </w:p>
    <w:p w14:paraId="7D0AAA58" w14:textId="77777777" w:rsidR="00990A65" w:rsidRPr="00990A65" w:rsidRDefault="00990A65" w:rsidP="00990A65">
      <w:pPr>
        <w:pStyle w:val="NormalWeb"/>
        <w:shd w:val="clear" w:color="auto" w:fill="FFFFFF"/>
        <w:spacing w:before="0" w:after="0"/>
        <w:jc w:val="both"/>
        <w:textAlignment w:val="baseline"/>
        <w:rPr>
          <w:bCs/>
          <w:color w:val="000000" w:themeColor="text1"/>
          <w:szCs w:val="24"/>
          <w:shd w:val="clear" w:color="auto" w:fill="FFFFFF"/>
        </w:rPr>
      </w:pPr>
      <w:r w:rsidRPr="00990A65">
        <w:rPr>
          <w:bCs/>
          <w:color w:val="000000" w:themeColor="text1"/>
          <w:szCs w:val="24"/>
          <w:shd w:val="clear" w:color="auto" w:fill="FFFFFF"/>
        </w:rPr>
        <w:t xml:space="preserve">IBGE. </w:t>
      </w:r>
      <w:r w:rsidRPr="00990A65">
        <w:rPr>
          <w:b/>
          <w:color w:val="000000" w:themeColor="text1"/>
          <w:szCs w:val="24"/>
          <w:shd w:val="clear" w:color="auto" w:fill="FFFFFF"/>
        </w:rPr>
        <w:t>Pesquisa Trimestral do Abate de Animais</w:t>
      </w:r>
      <w:r w:rsidRPr="00990A65">
        <w:rPr>
          <w:bCs/>
          <w:color w:val="000000" w:themeColor="text1"/>
          <w:szCs w:val="24"/>
          <w:shd w:val="clear" w:color="auto" w:fill="FFFFFF"/>
        </w:rPr>
        <w:t xml:space="preserve">. Sistema IBGE de Recuperação Automática – SIDRA, 2022c. Disponível em: </w:t>
      </w:r>
      <w:r w:rsidRPr="00990A65">
        <w:rPr>
          <w:szCs w:val="24"/>
        </w:rPr>
        <w:t>https://www.ibge.gov.br/estatisticas/economicas/</w:t>
      </w:r>
      <w:r w:rsidRPr="00990A65">
        <w:rPr>
          <w:bCs/>
          <w:color w:val="000000" w:themeColor="text1"/>
          <w:szCs w:val="24"/>
          <w:shd w:val="clear" w:color="auto" w:fill="FFFFFF"/>
        </w:rPr>
        <w:t>agricultura-e-pecuaria/9203-pesquisas-trimestrais-do-abate-de-animais.html?=&amp;t= downloads. Acesso em: 20 abr. 2022.</w:t>
      </w:r>
    </w:p>
    <w:p w14:paraId="1D35DD6B" w14:textId="77777777" w:rsidR="00990A65" w:rsidRPr="00990A65" w:rsidRDefault="00990A65" w:rsidP="00990A65">
      <w:pPr>
        <w:pStyle w:val="NormalWeb"/>
        <w:shd w:val="clear" w:color="auto" w:fill="FFFFFF"/>
        <w:spacing w:before="0" w:after="0"/>
        <w:jc w:val="both"/>
        <w:textAlignment w:val="baseline"/>
        <w:rPr>
          <w:bCs/>
          <w:color w:val="000000" w:themeColor="text1"/>
          <w:szCs w:val="24"/>
          <w:shd w:val="clear" w:color="auto" w:fill="FFFFFF"/>
        </w:rPr>
      </w:pPr>
      <w:r w:rsidRPr="00990A65">
        <w:rPr>
          <w:bCs/>
          <w:color w:val="000000" w:themeColor="text1"/>
          <w:szCs w:val="24"/>
          <w:shd w:val="clear" w:color="auto" w:fill="FFFFFF"/>
        </w:rPr>
        <w:t xml:space="preserve">IBGE. </w:t>
      </w:r>
      <w:r w:rsidRPr="00990A65">
        <w:rPr>
          <w:b/>
          <w:color w:val="000000" w:themeColor="text1"/>
          <w:szCs w:val="24"/>
          <w:shd w:val="clear" w:color="auto" w:fill="FFFFFF"/>
        </w:rPr>
        <w:t>Pesquisa Trimestral do Leite</w:t>
      </w:r>
      <w:r w:rsidRPr="00990A65">
        <w:rPr>
          <w:bCs/>
          <w:color w:val="000000" w:themeColor="text1"/>
          <w:szCs w:val="24"/>
          <w:shd w:val="clear" w:color="auto" w:fill="FFFFFF"/>
        </w:rPr>
        <w:t>.</w:t>
      </w:r>
      <w:r w:rsidRPr="00990A65">
        <w:rPr>
          <w:b/>
          <w:color w:val="000000" w:themeColor="text1"/>
          <w:szCs w:val="24"/>
          <w:shd w:val="clear" w:color="auto" w:fill="FFFFFF"/>
        </w:rPr>
        <w:t xml:space="preserve"> </w:t>
      </w:r>
      <w:r w:rsidRPr="00990A65">
        <w:rPr>
          <w:bCs/>
          <w:color w:val="000000" w:themeColor="text1"/>
          <w:szCs w:val="24"/>
          <w:shd w:val="clear" w:color="auto" w:fill="FFFFFF"/>
        </w:rPr>
        <w:t xml:space="preserve">Sistema IBGE de Recuperação Automática – SIDRA, 2022d. Disponível em: </w:t>
      </w:r>
      <w:r w:rsidRPr="00990A65">
        <w:rPr>
          <w:szCs w:val="24"/>
        </w:rPr>
        <w:t>https://www.ibge.gov.br/estatisticas/economicas/</w:t>
      </w:r>
      <w:r w:rsidRPr="00990A65">
        <w:rPr>
          <w:bCs/>
          <w:color w:val="000000" w:themeColor="text1"/>
          <w:szCs w:val="24"/>
          <w:shd w:val="clear" w:color="auto" w:fill="FFFFFF"/>
        </w:rPr>
        <w:t>agricultura-e-pecuaria/9209-pesquisa-trimestral-do-leite.html?=&amp;t=downloads. Acesso em: 20 abr. 2022.</w:t>
      </w:r>
    </w:p>
    <w:p w14:paraId="367C17A1" w14:textId="77777777" w:rsidR="00990A65" w:rsidRPr="00990A65" w:rsidRDefault="00990A65" w:rsidP="00990A65">
      <w:pPr>
        <w:pStyle w:val="NormalWeb"/>
        <w:shd w:val="clear" w:color="auto" w:fill="FFFFFF"/>
        <w:spacing w:before="0" w:after="0"/>
        <w:jc w:val="both"/>
        <w:textAlignment w:val="baseline"/>
        <w:rPr>
          <w:bCs/>
          <w:color w:val="000000" w:themeColor="text1"/>
          <w:szCs w:val="24"/>
          <w:shd w:val="clear" w:color="auto" w:fill="FFFFFF"/>
        </w:rPr>
      </w:pPr>
      <w:r w:rsidRPr="00990A65">
        <w:rPr>
          <w:bCs/>
          <w:color w:val="000000" w:themeColor="text1"/>
          <w:szCs w:val="24"/>
          <w:shd w:val="clear" w:color="auto" w:fill="FFFFFF"/>
        </w:rPr>
        <w:t xml:space="preserve">IBGE. </w:t>
      </w:r>
      <w:r w:rsidRPr="00990A65">
        <w:rPr>
          <w:b/>
          <w:color w:val="000000" w:themeColor="text1"/>
          <w:szCs w:val="24"/>
          <w:shd w:val="clear" w:color="auto" w:fill="FFFFFF"/>
        </w:rPr>
        <w:t>Produção Agrícola Municipal</w:t>
      </w:r>
      <w:r w:rsidRPr="00990A65">
        <w:rPr>
          <w:bCs/>
          <w:color w:val="000000" w:themeColor="text1"/>
          <w:szCs w:val="24"/>
          <w:shd w:val="clear" w:color="auto" w:fill="FFFFFF"/>
        </w:rPr>
        <w:t xml:space="preserve">. Sistema IBGE de Recuperação Automática – SIDRA, 2022e. Disponível em: </w:t>
      </w:r>
      <w:r w:rsidRPr="00990A65">
        <w:rPr>
          <w:szCs w:val="24"/>
        </w:rPr>
        <w:t>https://www.ibge.gov.br/estatisticas/</w:t>
      </w:r>
      <w:r w:rsidRPr="00990A65">
        <w:rPr>
          <w:bCs/>
          <w:color w:val="000000" w:themeColor="text1"/>
          <w:szCs w:val="24"/>
          <w:shd w:val="clear" w:color="auto" w:fill="FFFFFF"/>
        </w:rPr>
        <w:t>economicas/agricultura-e-pecuaria/9117-producao-agricola-municipal-culturas-temporarias-e-permanentes.html?=&amp;t= downloads. Acesso em: 6 abr. 2022.</w:t>
      </w:r>
    </w:p>
    <w:p w14:paraId="51A35973" w14:textId="23B15C78" w:rsidR="00990A65" w:rsidRPr="00990A65" w:rsidRDefault="00990A65" w:rsidP="00990A65">
      <w:pPr>
        <w:pStyle w:val="NormalWeb"/>
        <w:shd w:val="clear" w:color="auto" w:fill="FFFFFF"/>
        <w:spacing w:before="0" w:after="0"/>
        <w:jc w:val="both"/>
        <w:textAlignment w:val="baseline"/>
        <w:rPr>
          <w:bCs/>
          <w:color w:val="000000" w:themeColor="text1"/>
          <w:szCs w:val="24"/>
          <w:shd w:val="clear" w:color="auto" w:fill="FFFFFF"/>
        </w:rPr>
      </w:pPr>
      <w:r w:rsidRPr="00990A65">
        <w:rPr>
          <w:bCs/>
          <w:color w:val="000000" w:themeColor="text1"/>
          <w:szCs w:val="24"/>
          <w:shd w:val="clear" w:color="auto" w:fill="FFFFFF"/>
        </w:rPr>
        <w:t xml:space="preserve">IBGE. </w:t>
      </w:r>
      <w:r w:rsidRPr="00990A65">
        <w:rPr>
          <w:b/>
          <w:color w:val="000000" w:themeColor="text1"/>
          <w:szCs w:val="24"/>
          <w:shd w:val="clear" w:color="auto" w:fill="FFFFFF"/>
        </w:rPr>
        <w:t>Produção de Ovos de Galinha</w:t>
      </w:r>
      <w:r w:rsidRPr="00990A65">
        <w:rPr>
          <w:bCs/>
          <w:color w:val="000000" w:themeColor="text1"/>
          <w:szCs w:val="24"/>
          <w:shd w:val="clear" w:color="auto" w:fill="FFFFFF"/>
        </w:rPr>
        <w:t xml:space="preserve">. Sistema IBGE de Recuperação Automática – SIDRA, 2022f. Disponível em: </w:t>
      </w:r>
      <w:r w:rsidRPr="00990A65">
        <w:rPr>
          <w:szCs w:val="24"/>
        </w:rPr>
        <w:t>https://www.ibge.gov.br/estatisticas/economicas/</w:t>
      </w:r>
      <w:r w:rsidRPr="00990A65">
        <w:rPr>
          <w:bCs/>
          <w:color w:val="000000" w:themeColor="text1"/>
          <w:szCs w:val="24"/>
          <w:shd w:val="clear" w:color="auto" w:fill="FFFFFF"/>
        </w:rPr>
        <w:t>agricultura-e-pecuaria/9216-pesquisa-trimestral-da-producao-de-ovos-de-galinha.html?=&amp;t=downloads. Acesso em: 20 abr. 2022.</w:t>
      </w:r>
    </w:p>
    <w:p w14:paraId="02AB6214" w14:textId="3885B456" w:rsidR="00990A65" w:rsidRPr="00990A65" w:rsidRDefault="00990A65" w:rsidP="00990A65">
      <w:pPr>
        <w:pStyle w:val="NormalWeb"/>
        <w:shd w:val="clear" w:color="auto" w:fill="FFFFFF"/>
        <w:spacing w:before="0" w:after="0"/>
        <w:jc w:val="both"/>
        <w:textAlignment w:val="baseline"/>
        <w:rPr>
          <w:bCs/>
          <w:color w:val="000000" w:themeColor="text1"/>
          <w:szCs w:val="24"/>
          <w:shd w:val="clear" w:color="auto" w:fill="FFFFFF"/>
        </w:rPr>
      </w:pPr>
      <w:r w:rsidRPr="00990A65">
        <w:rPr>
          <w:bCs/>
          <w:color w:val="000000" w:themeColor="text1"/>
          <w:szCs w:val="24"/>
          <w:shd w:val="clear" w:color="auto" w:fill="FFFFFF"/>
        </w:rPr>
        <w:t xml:space="preserve">IPEA. </w:t>
      </w:r>
      <w:r w:rsidRPr="00990A65">
        <w:rPr>
          <w:b/>
          <w:color w:val="000000" w:themeColor="text1"/>
          <w:szCs w:val="24"/>
          <w:shd w:val="clear" w:color="auto" w:fill="FFFFFF"/>
        </w:rPr>
        <w:t>A dinâmica da inflação brasileira: considerações a partir da desagregação do IPCA.</w:t>
      </w:r>
      <w:r w:rsidRPr="00990A65">
        <w:rPr>
          <w:bCs/>
          <w:color w:val="000000" w:themeColor="text1"/>
          <w:szCs w:val="24"/>
          <w:shd w:val="clear" w:color="auto" w:fill="FFFFFF"/>
        </w:rPr>
        <w:t xml:space="preserve"> Comunicados do IPEA – nº 101, 2011. Disponível em: </w:t>
      </w:r>
      <w:hyperlink r:id="rId25" w:history="1">
        <w:r w:rsidR="00E87046" w:rsidRPr="00E87046">
          <w:rPr>
            <w:rStyle w:val="Hyperlink"/>
            <w:color w:val="auto"/>
            <w:szCs w:val="24"/>
            <w:u w:val="none"/>
          </w:rPr>
          <w:t>http://repositorio.ipea.gov.br/handle/ 11058/3549</w:t>
        </w:r>
      </w:hyperlink>
      <w:r w:rsidRPr="00990A65">
        <w:rPr>
          <w:bCs/>
          <w:color w:val="000000" w:themeColor="text1"/>
          <w:szCs w:val="24"/>
          <w:shd w:val="clear" w:color="auto" w:fill="FFFFFF"/>
        </w:rPr>
        <w:t>. Acesso em: 21 mar. 2022.</w:t>
      </w:r>
    </w:p>
    <w:p w14:paraId="03DE4FD1" w14:textId="77777777" w:rsidR="00990A65" w:rsidRPr="00990A65" w:rsidRDefault="00990A65" w:rsidP="00990A65">
      <w:pPr>
        <w:pStyle w:val="NormalWeb"/>
        <w:shd w:val="clear" w:color="auto" w:fill="FFFFFF"/>
        <w:spacing w:before="0" w:after="0"/>
        <w:jc w:val="both"/>
        <w:textAlignment w:val="baseline"/>
        <w:rPr>
          <w:bCs/>
          <w:color w:val="000000" w:themeColor="text1"/>
          <w:szCs w:val="24"/>
          <w:shd w:val="clear" w:color="auto" w:fill="FFFFFF"/>
        </w:rPr>
      </w:pPr>
      <w:r w:rsidRPr="00990A65">
        <w:rPr>
          <w:bCs/>
          <w:color w:val="000000" w:themeColor="text1"/>
          <w:szCs w:val="24"/>
          <w:shd w:val="clear" w:color="auto" w:fill="FFFFFF"/>
        </w:rPr>
        <w:lastRenderedPageBreak/>
        <w:t xml:space="preserve">MALUF R.S.; SPERANZA J.. </w:t>
      </w:r>
      <w:r w:rsidRPr="00990A65">
        <w:rPr>
          <w:b/>
          <w:color w:val="000000" w:themeColor="text1"/>
          <w:szCs w:val="24"/>
          <w:shd w:val="clear" w:color="auto" w:fill="FFFFFF"/>
        </w:rPr>
        <w:t>Volatilidade dos preços internacionais e inflação de alimentos no Brasil</w:t>
      </w:r>
      <w:r w:rsidRPr="00990A65">
        <w:rPr>
          <w:bCs/>
          <w:color w:val="000000" w:themeColor="text1"/>
          <w:szCs w:val="24"/>
          <w:shd w:val="clear" w:color="auto" w:fill="FFFFFF"/>
        </w:rPr>
        <w:t xml:space="preserve">: fatores determinantes e repercussões na segurança alimentar e nutricional. Câmara Interministerial de Segurança Alimentar e Nutricional - CAISAN, 2013. Disponível em: </w:t>
      </w:r>
      <w:hyperlink w:history="1">
        <w:r w:rsidRPr="00990A65">
          <w:rPr>
            <w:color w:val="000000" w:themeColor="text1"/>
            <w:szCs w:val="24"/>
          </w:rPr>
          <w:t>http://bibliotecadigital.economia.gov.br/</w:t>
        </w:r>
      </w:hyperlink>
      <w:r w:rsidRPr="00990A65">
        <w:rPr>
          <w:bCs/>
          <w:color w:val="000000" w:themeColor="text1"/>
          <w:szCs w:val="24"/>
          <w:shd w:val="clear" w:color="auto" w:fill="FFFFFF"/>
        </w:rPr>
        <w:t>handle/123456789/170. Acesso em: 15 fev. 2022.</w:t>
      </w:r>
    </w:p>
    <w:p w14:paraId="02A8C166" w14:textId="77777777" w:rsidR="00990A65" w:rsidRPr="00990A65" w:rsidRDefault="00990A65" w:rsidP="00990A65">
      <w:p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shd w:val="clear" w:color="auto" w:fill="FFFFFF"/>
        </w:rPr>
      </w:pPr>
      <w:r w:rsidRPr="00990A65">
        <w:rPr>
          <w:rFonts w:ascii="Times New Roman" w:eastAsia="Times New Roman" w:hAnsi="Times New Roman" w:cs="Times New Roman"/>
          <w:bCs/>
          <w:color w:val="000000" w:themeColor="text1"/>
          <w:sz w:val="24"/>
          <w:szCs w:val="24"/>
          <w:shd w:val="clear" w:color="auto" w:fill="FFFFFF"/>
        </w:rPr>
        <w:t xml:space="preserve">OCDE; FAO. </w:t>
      </w:r>
      <w:r w:rsidRPr="00990A65">
        <w:rPr>
          <w:rFonts w:ascii="Times New Roman" w:eastAsia="Times New Roman" w:hAnsi="Times New Roman" w:cs="Times New Roman"/>
          <w:b/>
          <w:color w:val="000000" w:themeColor="text1"/>
          <w:sz w:val="24"/>
          <w:szCs w:val="24"/>
          <w:shd w:val="clear" w:color="auto" w:fill="FFFFFF"/>
        </w:rPr>
        <w:t>OECD‑FAO Agricultural Outlook 2019‑2028</w:t>
      </w:r>
      <w:r w:rsidRPr="00990A65">
        <w:rPr>
          <w:rFonts w:ascii="Times New Roman" w:eastAsia="Times New Roman" w:hAnsi="Times New Roman" w:cs="Times New Roman"/>
          <w:bCs/>
          <w:color w:val="000000" w:themeColor="text1"/>
          <w:sz w:val="24"/>
          <w:szCs w:val="24"/>
          <w:shd w:val="clear" w:color="auto" w:fill="FFFFFF"/>
        </w:rPr>
        <w:t>. Special focus: Latin America. Paris (França), 2020.</w:t>
      </w:r>
    </w:p>
    <w:p w14:paraId="1F102091" w14:textId="77777777" w:rsidR="00990A65" w:rsidRPr="00990A65" w:rsidRDefault="00990A65" w:rsidP="00990A65">
      <w:p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shd w:val="clear" w:color="auto" w:fill="FFFFFF"/>
        </w:rPr>
      </w:pPr>
      <w:r w:rsidRPr="00990A65">
        <w:rPr>
          <w:rFonts w:ascii="Times New Roman" w:eastAsia="Times New Roman" w:hAnsi="Times New Roman" w:cs="Times New Roman"/>
          <w:bCs/>
          <w:color w:val="000000" w:themeColor="text1"/>
          <w:sz w:val="24"/>
          <w:szCs w:val="24"/>
          <w:shd w:val="clear" w:color="auto" w:fill="FFFFFF"/>
        </w:rPr>
        <w:t xml:space="preserve">REDE PENSSAN. </w:t>
      </w:r>
      <w:r w:rsidRPr="00990A65">
        <w:rPr>
          <w:rFonts w:ascii="Times New Roman" w:eastAsia="Times New Roman" w:hAnsi="Times New Roman" w:cs="Times New Roman"/>
          <w:b/>
          <w:color w:val="000000" w:themeColor="text1"/>
          <w:sz w:val="24"/>
          <w:szCs w:val="24"/>
          <w:shd w:val="clear" w:color="auto" w:fill="FFFFFF"/>
        </w:rPr>
        <w:t>II Inquérito Nacional sobre Insegurança Alimentar no Contexto da Pandemia da COVID-19 no Brasil</w:t>
      </w:r>
      <w:r w:rsidRPr="00990A65">
        <w:rPr>
          <w:rFonts w:ascii="Times New Roman" w:eastAsia="Times New Roman" w:hAnsi="Times New Roman" w:cs="Times New Roman"/>
          <w:bCs/>
          <w:color w:val="000000" w:themeColor="text1"/>
          <w:sz w:val="24"/>
          <w:szCs w:val="24"/>
          <w:shd w:val="clear" w:color="auto" w:fill="FFFFFF"/>
        </w:rPr>
        <w:t xml:space="preserve"> - II VIGISAN. Rede Brasileira de Pesquisa em Soberania e Segurança Alimentar – PENSSAN. Fundação Friedrich Ebert, São Paulo, 2022.</w:t>
      </w:r>
    </w:p>
    <w:p w14:paraId="2DF2AC43" w14:textId="77777777" w:rsidR="000D4DDD" w:rsidRDefault="000D4DDD" w:rsidP="000D4DDD">
      <w:p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shd w:val="clear" w:color="auto" w:fill="FFFFFF"/>
        </w:rPr>
      </w:pPr>
      <w:r w:rsidRPr="00935CB9">
        <w:rPr>
          <w:rFonts w:ascii="Times New Roman" w:eastAsia="Times New Roman" w:hAnsi="Times New Roman" w:cs="Times New Roman"/>
          <w:bCs/>
          <w:color w:val="000000" w:themeColor="text1"/>
          <w:sz w:val="24"/>
          <w:szCs w:val="24"/>
          <w:shd w:val="clear" w:color="auto" w:fill="FFFFFF"/>
        </w:rPr>
        <w:t xml:space="preserve">SCHNEIDER, S.; CASSOL, A.; LEONARDI, A.; MARINHO, M. de M. Os efeitos da pandemia da Covid-19 sobre o agronegócio e a alimentação. </w:t>
      </w:r>
      <w:r w:rsidRPr="00935CB9">
        <w:rPr>
          <w:rFonts w:ascii="Times New Roman" w:eastAsia="Times New Roman" w:hAnsi="Times New Roman" w:cs="Times New Roman"/>
          <w:b/>
          <w:color w:val="000000" w:themeColor="text1"/>
          <w:sz w:val="24"/>
          <w:szCs w:val="24"/>
          <w:shd w:val="clear" w:color="auto" w:fill="FFFFFF"/>
        </w:rPr>
        <w:t>Estudos Avançados</w:t>
      </w:r>
      <w:r w:rsidRPr="00935CB9">
        <w:rPr>
          <w:rFonts w:ascii="Times New Roman" w:eastAsia="Times New Roman" w:hAnsi="Times New Roman" w:cs="Times New Roman"/>
          <w:bCs/>
          <w:color w:val="000000" w:themeColor="text1"/>
          <w:sz w:val="24"/>
          <w:szCs w:val="24"/>
          <w:shd w:val="clear" w:color="auto" w:fill="FFFFFF"/>
        </w:rPr>
        <w:t xml:space="preserve">, [S. l.], v. 34, n. 100, p. 167-188, 2020. DOI: 10.1590/s0103-4014.2020.34100.011. Disponível em: https://www.revistas.usp.br/eav/article/view/178766. Acesso em: </w:t>
      </w:r>
      <w:r>
        <w:rPr>
          <w:rFonts w:ascii="Times New Roman" w:eastAsia="Times New Roman" w:hAnsi="Times New Roman" w:cs="Times New Roman"/>
          <w:bCs/>
          <w:color w:val="000000" w:themeColor="text1"/>
          <w:sz w:val="24"/>
          <w:szCs w:val="24"/>
          <w:shd w:val="clear" w:color="auto" w:fill="FFFFFF"/>
        </w:rPr>
        <w:t>10</w:t>
      </w:r>
      <w:r w:rsidRPr="00935CB9">
        <w:rPr>
          <w:rFonts w:ascii="Times New Roman" w:eastAsia="Times New Roman" w:hAnsi="Times New Roman" w:cs="Times New Roman"/>
          <w:bCs/>
          <w:color w:val="000000" w:themeColor="text1"/>
          <w:sz w:val="24"/>
          <w:szCs w:val="24"/>
          <w:shd w:val="clear" w:color="auto" w:fill="FFFFFF"/>
        </w:rPr>
        <w:t xml:space="preserve"> </w:t>
      </w:r>
      <w:r>
        <w:rPr>
          <w:rFonts w:ascii="Times New Roman" w:eastAsia="Times New Roman" w:hAnsi="Times New Roman" w:cs="Times New Roman"/>
          <w:bCs/>
          <w:color w:val="000000" w:themeColor="text1"/>
          <w:sz w:val="24"/>
          <w:szCs w:val="24"/>
          <w:shd w:val="clear" w:color="auto" w:fill="FFFFFF"/>
        </w:rPr>
        <w:t>nov</w:t>
      </w:r>
      <w:r w:rsidRPr="00935CB9">
        <w:rPr>
          <w:rFonts w:ascii="Times New Roman" w:eastAsia="Times New Roman" w:hAnsi="Times New Roman" w:cs="Times New Roman"/>
          <w:bCs/>
          <w:color w:val="000000" w:themeColor="text1"/>
          <w:sz w:val="24"/>
          <w:szCs w:val="24"/>
          <w:shd w:val="clear" w:color="auto" w:fill="FFFFFF"/>
        </w:rPr>
        <w:t>. 202</w:t>
      </w:r>
      <w:r>
        <w:rPr>
          <w:rFonts w:ascii="Times New Roman" w:eastAsia="Times New Roman" w:hAnsi="Times New Roman" w:cs="Times New Roman"/>
          <w:bCs/>
          <w:color w:val="000000" w:themeColor="text1"/>
          <w:sz w:val="24"/>
          <w:szCs w:val="24"/>
          <w:shd w:val="clear" w:color="auto" w:fill="FFFFFF"/>
        </w:rPr>
        <w:t>1</w:t>
      </w:r>
      <w:r w:rsidRPr="00935CB9">
        <w:rPr>
          <w:rFonts w:ascii="Times New Roman" w:eastAsia="Times New Roman" w:hAnsi="Times New Roman" w:cs="Times New Roman"/>
          <w:bCs/>
          <w:color w:val="000000" w:themeColor="text1"/>
          <w:sz w:val="24"/>
          <w:szCs w:val="24"/>
          <w:shd w:val="clear" w:color="auto" w:fill="FFFFFF"/>
        </w:rPr>
        <w:t>.</w:t>
      </w:r>
    </w:p>
    <w:p w14:paraId="48BE1FF1" w14:textId="0A5677CE" w:rsidR="00990A65" w:rsidRPr="00990A65" w:rsidRDefault="00990A65" w:rsidP="00990A65">
      <w:pPr>
        <w:pStyle w:val="NormalWeb"/>
        <w:shd w:val="clear" w:color="auto" w:fill="FFFFFF"/>
        <w:spacing w:before="0" w:after="0"/>
        <w:jc w:val="both"/>
        <w:textAlignment w:val="baseline"/>
        <w:rPr>
          <w:bCs/>
          <w:color w:val="000000" w:themeColor="text1"/>
          <w:szCs w:val="24"/>
          <w:shd w:val="clear" w:color="auto" w:fill="FFFFFF"/>
        </w:rPr>
      </w:pPr>
      <w:r w:rsidRPr="00990A65">
        <w:rPr>
          <w:bCs/>
          <w:color w:val="000000" w:themeColor="text1"/>
          <w:szCs w:val="24"/>
          <w:shd w:val="clear" w:color="auto" w:fill="FFFFFF"/>
        </w:rPr>
        <w:t xml:space="preserve">SILVA, H. J. T. </w:t>
      </w:r>
      <w:r w:rsidRPr="00990A65">
        <w:rPr>
          <w:b/>
          <w:color w:val="000000" w:themeColor="text1"/>
          <w:szCs w:val="24"/>
          <w:shd w:val="clear" w:color="auto" w:fill="FFFFFF"/>
        </w:rPr>
        <w:t>Estudo da viabilidade econômico-financeira da indústria de citros:</w:t>
      </w:r>
      <w:r w:rsidRPr="00990A65">
        <w:rPr>
          <w:bCs/>
          <w:color w:val="000000" w:themeColor="text1"/>
          <w:szCs w:val="24"/>
          <w:shd w:val="clear" w:color="auto" w:fill="FFFFFF"/>
        </w:rPr>
        <w:t xml:space="preserve"> impactos da criação de um conselho setorial. Dissertação (Mestrado em Economia aplicada) - Escola Superior de Agricultura “Luiz de Queiroz”, Universidade de São Paulo. São Paulo, 2015. Disponível em: https://www.teses.usp.br/teses/disponiveis/11/11132/tde-16032016-150358/pt-br.php.</w:t>
      </w:r>
    </w:p>
    <w:p w14:paraId="30854872" w14:textId="51C75683" w:rsidR="00935CB9" w:rsidRDefault="00990A65" w:rsidP="00990A65">
      <w:p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shd w:val="clear" w:color="auto" w:fill="FFFFFF"/>
        </w:rPr>
      </w:pPr>
      <w:r w:rsidRPr="00990A65">
        <w:rPr>
          <w:rFonts w:ascii="Times New Roman" w:eastAsia="Times New Roman" w:hAnsi="Times New Roman" w:cs="Times New Roman"/>
          <w:bCs/>
          <w:color w:val="000000" w:themeColor="text1"/>
          <w:sz w:val="24"/>
          <w:szCs w:val="24"/>
          <w:shd w:val="clear" w:color="auto" w:fill="FFFFFF"/>
        </w:rPr>
        <w:t xml:space="preserve">USDA. </w:t>
      </w:r>
      <w:r w:rsidRPr="00990A65">
        <w:rPr>
          <w:rFonts w:ascii="Times New Roman" w:eastAsia="Times New Roman" w:hAnsi="Times New Roman" w:cs="Times New Roman"/>
          <w:b/>
          <w:color w:val="000000" w:themeColor="text1"/>
          <w:sz w:val="24"/>
          <w:szCs w:val="24"/>
          <w:shd w:val="clear" w:color="auto" w:fill="FFFFFF"/>
        </w:rPr>
        <w:t>Valores de elasticidade renda da demanda</w:t>
      </w:r>
      <w:r w:rsidRPr="00990A65">
        <w:rPr>
          <w:rFonts w:ascii="Times New Roman" w:eastAsia="Times New Roman" w:hAnsi="Times New Roman" w:cs="Times New Roman"/>
          <w:bCs/>
          <w:color w:val="000000" w:themeColor="text1"/>
          <w:sz w:val="24"/>
          <w:szCs w:val="24"/>
          <w:shd w:val="clear" w:color="auto" w:fill="FFFFFF"/>
        </w:rPr>
        <w:t xml:space="preserve">. United States Department of Agriculture, 2007. Disponível em: </w:t>
      </w:r>
      <w:hyperlink r:id="rId26" w:history="1">
        <w:r w:rsidRPr="00990A65">
          <w:rPr>
            <w:rFonts w:ascii="Times New Roman" w:eastAsia="Times New Roman" w:hAnsi="Times New Roman" w:cs="Times New Roman"/>
            <w:bCs/>
            <w:color w:val="000000" w:themeColor="text1"/>
            <w:sz w:val="24"/>
            <w:szCs w:val="24"/>
            <w:shd w:val="clear" w:color="auto" w:fill="FFFFFF"/>
          </w:rPr>
          <w:t>www.usda.gov</w:t>
        </w:r>
      </w:hyperlink>
      <w:r w:rsidRPr="00990A65">
        <w:rPr>
          <w:rFonts w:ascii="Times New Roman" w:eastAsia="Times New Roman" w:hAnsi="Times New Roman" w:cs="Times New Roman"/>
          <w:bCs/>
          <w:color w:val="000000" w:themeColor="text1"/>
          <w:sz w:val="24"/>
          <w:szCs w:val="24"/>
          <w:shd w:val="clear" w:color="auto" w:fill="FFFFFF"/>
        </w:rPr>
        <w:t>. Acesso em: 14 de fevereiro de 2021.</w:t>
      </w:r>
    </w:p>
    <w:p w14:paraId="674EC710" w14:textId="0E71C4D3" w:rsidR="000D4DDD" w:rsidRPr="00BC1495" w:rsidRDefault="000D4DDD" w:rsidP="00990A65">
      <w:p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shd w:val="clear" w:color="auto" w:fill="FFFFFF"/>
        </w:rPr>
      </w:pPr>
      <w:r w:rsidRPr="000D4DDD">
        <w:rPr>
          <w:rFonts w:ascii="Times New Roman" w:eastAsia="Times New Roman" w:hAnsi="Times New Roman" w:cs="Times New Roman"/>
          <w:bCs/>
          <w:color w:val="000000" w:themeColor="text1"/>
          <w:sz w:val="24"/>
          <w:szCs w:val="24"/>
          <w:shd w:val="clear" w:color="auto" w:fill="FFFFFF"/>
        </w:rPr>
        <w:t>ZAGO, M. A. V.</w:t>
      </w:r>
      <w:bookmarkStart w:id="7" w:name="_GoBack"/>
      <w:bookmarkEnd w:id="7"/>
      <w:r w:rsidRPr="000D4DDD">
        <w:rPr>
          <w:rFonts w:ascii="Times New Roman" w:eastAsia="Times New Roman" w:hAnsi="Times New Roman" w:cs="Times New Roman"/>
          <w:bCs/>
          <w:color w:val="000000" w:themeColor="text1"/>
          <w:sz w:val="24"/>
          <w:szCs w:val="24"/>
          <w:shd w:val="clear" w:color="auto" w:fill="FFFFFF"/>
        </w:rPr>
        <w:t xml:space="preserve"> As implicações do cenário pandêmico do COVID-19 frente a Segurança Alimentar e Nutricional: uma revisão bibliográfica. </w:t>
      </w:r>
      <w:r w:rsidRPr="000D4DDD">
        <w:rPr>
          <w:rFonts w:ascii="Times New Roman" w:eastAsia="Times New Roman" w:hAnsi="Times New Roman" w:cs="Times New Roman"/>
          <w:b/>
          <w:color w:val="000000" w:themeColor="text1"/>
          <w:sz w:val="24"/>
          <w:szCs w:val="24"/>
          <w:shd w:val="clear" w:color="auto" w:fill="FFFFFF"/>
        </w:rPr>
        <w:t>Segurança Alimentar e Nutricional</w:t>
      </w:r>
      <w:r w:rsidRPr="000D4DDD">
        <w:rPr>
          <w:rFonts w:ascii="Times New Roman" w:eastAsia="Times New Roman" w:hAnsi="Times New Roman" w:cs="Times New Roman"/>
          <w:bCs/>
          <w:color w:val="000000" w:themeColor="text1"/>
          <w:sz w:val="24"/>
          <w:szCs w:val="24"/>
          <w:shd w:val="clear" w:color="auto" w:fill="FFFFFF"/>
        </w:rPr>
        <w:t>, Campinas, SP, v. 28, n. 00, p. e021008, 2021. DOI: 10.20396/san.v28i00.8661900. Disponível em: https://periodicos.sbu.unicamp.br/ojs/index.php/san/article/view/8661900. Acesso em: 7 fev. 202</w:t>
      </w:r>
      <w:r>
        <w:rPr>
          <w:rFonts w:ascii="Times New Roman" w:eastAsia="Times New Roman" w:hAnsi="Times New Roman" w:cs="Times New Roman"/>
          <w:bCs/>
          <w:color w:val="000000" w:themeColor="text1"/>
          <w:sz w:val="24"/>
          <w:szCs w:val="24"/>
          <w:shd w:val="clear" w:color="auto" w:fill="FFFFFF"/>
        </w:rPr>
        <w:t>2</w:t>
      </w:r>
      <w:r w:rsidRPr="000D4DDD">
        <w:rPr>
          <w:rFonts w:ascii="Times New Roman" w:eastAsia="Times New Roman" w:hAnsi="Times New Roman" w:cs="Times New Roman"/>
          <w:bCs/>
          <w:color w:val="000000" w:themeColor="text1"/>
          <w:sz w:val="24"/>
          <w:szCs w:val="24"/>
          <w:shd w:val="clear" w:color="auto" w:fill="FFFFFF"/>
        </w:rPr>
        <w:t>.</w:t>
      </w:r>
    </w:p>
    <w:p w14:paraId="183D9610" w14:textId="77777777" w:rsidR="00CB4C26" w:rsidRPr="00CB4C26" w:rsidRDefault="00CB4C26" w:rsidP="00CB4C26">
      <w:pPr>
        <w:autoSpaceDE w:val="0"/>
        <w:autoSpaceDN w:val="0"/>
        <w:adjustRightInd w:val="0"/>
        <w:spacing w:after="0" w:line="240" w:lineRule="auto"/>
        <w:jc w:val="center"/>
        <w:rPr>
          <w:rFonts w:ascii="Times New Roman" w:eastAsia="Times New Roman" w:hAnsi="Times New Roman" w:cs="Times New Roman"/>
          <w:bCs/>
          <w:color w:val="000000" w:themeColor="text1"/>
          <w:sz w:val="24"/>
          <w:szCs w:val="24"/>
          <w:shd w:val="clear" w:color="auto" w:fill="FFFFFF"/>
        </w:rPr>
      </w:pPr>
    </w:p>
    <w:sectPr w:rsidR="00CB4C26" w:rsidRPr="00CB4C26" w:rsidSect="00F44F5E">
      <w:headerReference w:type="default" r:id="rId27"/>
      <w:footerReference w:type="default" r:id="rId28"/>
      <w:pgSz w:w="11906" w:h="16838"/>
      <w:pgMar w:top="1627" w:right="1418" w:bottom="1429" w:left="1418" w:header="0" w:footer="709"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F3FE53" w14:textId="77777777" w:rsidR="00F06502" w:rsidRDefault="00F06502">
      <w:pPr>
        <w:spacing w:after="0" w:line="240" w:lineRule="auto"/>
      </w:pPr>
      <w:r>
        <w:separator/>
      </w:r>
    </w:p>
  </w:endnote>
  <w:endnote w:type="continuationSeparator" w:id="0">
    <w:p w14:paraId="0F0F0EF1" w14:textId="77777777" w:rsidR="00F06502" w:rsidRDefault="00F065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BB0E9" w14:textId="77777777" w:rsidR="00833545" w:rsidRDefault="00833545">
    <w:pPr>
      <w:shd w:val="clear" w:color="auto" w:fill="FFFFFF"/>
      <w:spacing w:after="0" w:line="240" w:lineRule="auto"/>
      <w:jc w:val="center"/>
      <w:rPr>
        <w:rFonts w:ascii="Helvetica Neue" w:eastAsia="Helvetica Neue" w:hAnsi="Helvetica Neue" w:cs="Helvetica Neue"/>
        <w:i/>
        <w:sz w:val="20"/>
        <w:szCs w:val="20"/>
      </w:rPr>
    </w:pPr>
    <w:r>
      <w:rPr>
        <w:noProof/>
      </w:rPr>
      <mc:AlternateContent>
        <mc:Choice Requires="wpg">
          <w:drawing>
            <wp:anchor distT="0" distB="0" distL="114300" distR="114300" simplePos="0" relativeHeight="251659264" behindDoc="0" locked="0" layoutInCell="1" hidden="0" allowOverlap="1" wp14:anchorId="15DE8E47" wp14:editId="1604E8ED">
              <wp:simplePos x="0" y="0"/>
              <wp:positionH relativeFrom="column">
                <wp:posOffset>88901</wp:posOffset>
              </wp:positionH>
              <wp:positionV relativeFrom="paragraph">
                <wp:posOffset>63500</wp:posOffset>
              </wp:positionV>
              <wp:extent cx="5581650" cy="18985"/>
              <wp:effectExtent l="0" t="0" r="0" b="0"/>
              <wp:wrapNone/>
              <wp:docPr id="29" name="Conector de Seta Reta 29"/>
              <wp:cNvGraphicFramePr/>
              <a:graphic xmlns:a="http://schemas.openxmlformats.org/drawingml/2006/main">
                <a:graphicData uri="http://schemas.microsoft.com/office/word/2010/wordprocessingShape">
                  <wps:wsp>
                    <wps:cNvCnPr/>
                    <wps:spPr>
                      <a:xfrm>
                        <a:off x="2555175" y="3780000"/>
                        <a:ext cx="5581650" cy="0"/>
                      </a:xfrm>
                      <a:prstGeom prst="straightConnector1">
                        <a:avLst/>
                      </a:prstGeom>
                      <a:noFill/>
                      <a:ln w="19050" cap="flat" cmpd="sng">
                        <a:solidFill>
                          <a:srgbClr val="A13894"/>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88901</wp:posOffset>
              </wp:positionH>
              <wp:positionV relativeFrom="paragraph">
                <wp:posOffset>63500</wp:posOffset>
              </wp:positionV>
              <wp:extent cx="0" cy="18985"/>
              <wp:effectExtent b="0" l="0" r="0" t="0"/>
              <wp:wrapNone/>
              <wp:docPr id="29"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0" cy="18985"/>
                      </a:xfrm>
                      <a:prstGeom prst="rect"/>
                      <a:ln/>
                    </pic:spPr>
                  </pic:pic>
                </a:graphicData>
              </a:graphic>
            </wp:anchor>
          </w:drawing>
        </mc:Fallback>
      </mc:AlternateContent>
    </w:r>
  </w:p>
  <w:p w14:paraId="7B8EAA71" w14:textId="77777777" w:rsidR="00833545" w:rsidRDefault="00833545">
    <w:pPr>
      <w:shd w:val="clear" w:color="auto" w:fill="FFFFFF"/>
      <w:tabs>
        <w:tab w:val="left" w:pos="1418"/>
      </w:tabs>
      <w:spacing w:after="0" w:line="240" w:lineRule="auto"/>
      <w:jc w:val="center"/>
      <w:rPr>
        <w:b/>
        <w:color w:val="000000"/>
      </w:rPr>
    </w:pPr>
    <w:r>
      <w:rPr>
        <w:rFonts w:ascii="Helvetica Neue" w:eastAsia="Helvetica Neue" w:hAnsi="Helvetica Neue" w:cs="Helvetica Neue"/>
        <w:b/>
        <w:i/>
        <w:color w:val="2F468D"/>
        <w:sz w:val="20"/>
        <w:szCs w:val="20"/>
      </w:rPr>
      <w:t>61º</w:t>
    </w:r>
    <w:r>
      <w:rPr>
        <w:rFonts w:ascii="Helvetica Neue" w:eastAsia="Helvetica Neue" w:hAnsi="Helvetica Neue" w:cs="Helvetica Neue"/>
        <w:i/>
        <w:color w:val="2F468D"/>
        <w:sz w:val="20"/>
        <w:szCs w:val="20"/>
      </w:rPr>
      <w:t xml:space="preserve"> Congresso da Sociedade Brasileira de Economia, Administração e Sociologia Rural – SOBER</w:t>
    </w:r>
  </w:p>
  <w:p w14:paraId="2B2D9C0D" w14:textId="77777777" w:rsidR="00833545" w:rsidRDefault="00833545">
    <w:pPr>
      <w:pBdr>
        <w:top w:val="nil"/>
        <w:left w:val="nil"/>
        <w:bottom w:val="nil"/>
        <w:right w:val="nil"/>
        <w:between w:val="nil"/>
      </w:pBdr>
      <w:tabs>
        <w:tab w:val="center" w:pos="4252"/>
        <w:tab w:val="right" w:pos="8504"/>
      </w:tabs>
      <w:spacing w:after="0" w:line="240" w:lineRule="auto"/>
      <w:ind w:right="49"/>
      <w:jc w:val="center"/>
      <w:rPr>
        <w:b/>
        <w:color w:val="6598AC"/>
        <w:sz w:val="20"/>
        <w:szCs w:val="20"/>
      </w:rPr>
    </w:pPr>
    <w:r>
      <w:rPr>
        <w:rFonts w:ascii="Helvetica Neue" w:eastAsia="Helvetica Neue" w:hAnsi="Helvetica Neue" w:cs="Helvetica Neue"/>
        <w:b/>
        <w:color w:val="2F468D"/>
        <w:sz w:val="20"/>
        <w:szCs w:val="20"/>
      </w:rPr>
      <w:t>23 a 27 de Julho de 2023 | Piracicaba - SP</w:t>
    </w:r>
  </w:p>
  <w:p w14:paraId="0FC860E3" w14:textId="5748C738" w:rsidR="00833545" w:rsidRDefault="00833545">
    <w:pPr>
      <w:pBdr>
        <w:top w:val="nil"/>
        <w:left w:val="nil"/>
        <w:bottom w:val="nil"/>
        <w:right w:val="nil"/>
        <w:between w:val="nil"/>
      </w:pBdr>
      <w:tabs>
        <w:tab w:val="center" w:pos="4252"/>
        <w:tab w:val="right" w:pos="8504"/>
      </w:tabs>
      <w:spacing w:after="0" w:line="240" w:lineRule="auto"/>
      <w:jc w:val="right"/>
      <w:rPr>
        <w:color w:val="000000"/>
      </w:rPr>
    </w:pPr>
    <w:r>
      <w:fldChar w:fldCharType="begin"/>
    </w:r>
    <w:r>
      <w:instrText>PAGE</w:instrText>
    </w:r>
    <w:r>
      <w:fldChar w:fldCharType="separate"/>
    </w:r>
    <w:r w:rsidR="00E87046">
      <w:rPr>
        <w:noProof/>
      </w:rPr>
      <w:t>20</w:t>
    </w:r>
    <w:r>
      <w:fldChar w:fldCharType="end"/>
    </w:r>
  </w:p>
  <w:p w14:paraId="1539A6DB" w14:textId="77777777" w:rsidR="00833545" w:rsidRDefault="00833545"/>
  <w:p w14:paraId="5FC2D07C" w14:textId="77777777" w:rsidR="00833545" w:rsidRDefault="00833545"/>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FA2316" w14:textId="77777777" w:rsidR="00F06502" w:rsidRDefault="00F06502">
      <w:pPr>
        <w:spacing w:after="0" w:line="240" w:lineRule="auto"/>
      </w:pPr>
      <w:r>
        <w:separator/>
      </w:r>
    </w:p>
  </w:footnote>
  <w:footnote w:type="continuationSeparator" w:id="0">
    <w:p w14:paraId="103D381D" w14:textId="77777777" w:rsidR="00F06502" w:rsidRDefault="00F06502">
      <w:pPr>
        <w:spacing w:after="0" w:line="240" w:lineRule="auto"/>
      </w:pPr>
      <w:r>
        <w:continuationSeparator/>
      </w:r>
    </w:p>
  </w:footnote>
  <w:footnote w:id="1">
    <w:p w14:paraId="51764CC2" w14:textId="7A5D5367" w:rsidR="00833545" w:rsidRPr="003E2C0E" w:rsidRDefault="00833545" w:rsidP="00B90028">
      <w:pPr>
        <w:pStyle w:val="Textodenotaderodap"/>
      </w:pPr>
      <w:r w:rsidRPr="003E2C0E">
        <w:rPr>
          <w:rStyle w:val="Refdenotaderodap"/>
        </w:rPr>
        <w:footnoteRef/>
      </w:r>
      <w:r w:rsidRPr="003E2C0E">
        <w:t xml:space="preserve"> O Ministério</w:t>
      </w:r>
      <w:r>
        <w:t xml:space="preserve"> da Agricultura, Pecuária e Abastecimento (MAPA) do Governo Federal do Brasil contabiliza, nos registros do comércio exterior do agronegócio, produtos alimentícios ou não com origem agrícola e com diferentes níveis de processamento. Por exemplo, são computados produtos como café, milho, soja e trigo em grãos, farelo de soja, açúcar, </w:t>
      </w:r>
      <w:r w:rsidRPr="003F65A5">
        <w:t>carnes e lácteos, tecidos e roupas de algodão, calçados e outros produtos de couro, papel e celulose etc. (BRASIL, 2021).</w:t>
      </w:r>
    </w:p>
  </w:footnote>
  <w:footnote w:id="2">
    <w:p w14:paraId="426B8FF5" w14:textId="77777777" w:rsidR="00833545" w:rsidRPr="004362BD" w:rsidRDefault="00833545" w:rsidP="001E7476">
      <w:pPr>
        <w:pStyle w:val="Textodenotaderodap"/>
        <w:rPr>
          <w:lang w:val="pt-BR"/>
        </w:rPr>
      </w:pPr>
      <w:r w:rsidRPr="00BC5CB1">
        <w:rPr>
          <w:rStyle w:val="Refdenotaderodap"/>
          <w:u w:val="single"/>
        </w:rPr>
        <w:footnoteRef/>
      </w:r>
      <w:r w:rsidRPr="004362BD">
        <w:t xml:space="preserve"> </w:t>
      </w:r>
      <w:hyperlink r:id="rId1" w:anchor="!/departamentos/economia-rural/docentes/jose-giacomo-baccarin/internacionalizacao-da-agricultura-e-precos-de-alimentos-no-brasil/inflacao-de-alimentos-no-brasil-2007-a-2020/" w:history="1">
        <w:r w:rsidRPr="00B15EDC">
          <w:rPr>
            <w:rStyle w:val="Hyperlink"/>
            <w:color w:val="auto"/>
            <w:lang w:val="pt-BR"/>
          </w:rPr>
          <w:t>Site – Inflação de Alimentos no Brasil</w:t>
        </w:r>
      </w:hyperlink>
      <w:r w:rsidRPr="006B57DC">
        <w:rPr>
          <w:lang w:val="pt-BR"/>
        </w:rPr>
        <w:t xml:space="preserve"> e </w:t>
      </w:r>
      <w:hyperlink r:id="rId2" w:history="1">
        <w:r w:rsidRPr="00B15EDC">
          <w:rPr>
            <w:rStyle w:val="Hyperlink"/>
            <w:color w:val="auto"/>
            <w:lang w:val="pt-BR"/>
          </w:rPr>
          <w:t>GitHub – IAIABr</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A19C00" w14:textId="77777777" w:rsidR="00833545" w:rsidRDefault="00833545">
    <w:pPr>
      <w:pBdr>
        <w:top w:val="nil"/>
        <w:left w:val="nil"/>
        <w:bottom w:val="nil"/>
        <w:right w:val="nil"/>
        <w:between w:val="nil"/>
      </w:pBdr>
      <w:spacing w:after="0" w:line="240" w:lineRule="auto"/>
      <w:rPr>
        <w:color w:val="008000"/>
        <w:sz w:val="6"/>
        <w:szCs w:val="6"/>
      </w:rPr>
    </w:pPr>
    <w:r>
      <w:rPr>
        <w:noProof/>
      </w:rPr>
      <w:drawing>
        <wp:anchor distT="0" distB="0" distL="114300" distR="114300" simplePos="0" relativeHeight="251658240" behindDoc="0" locked="0" layoutInCell="1" hidden="0" allowOverlap="1" wp14:anchorId="2A194B03" wp14:editId="2729759E">
          <wp:simplePos x="0" y="0"/>
          <wp:positionH relativeFrom="column">
            <wp:posOffset>1182370</wp:posOffset>
          </wp:positionH>
          <wp:positionV relativeFrom="paragraph">
            <wp:posOffset>44450</wp:posOffset>
          </wp:positionV>
          <wp:extent cx="3488050" cy="925830"/>
          <wp:effectExtent l="0" t="0" r="0" b="7620"/>
          <wp:wrapNone/>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
                  <a:srcRect l="2485"/>
                  <a:stretch/>
                </pic:blipFill>
                <pic:spPr bwMode="auto">
                  <a:xfrm>
                    <a:off x="0" y="0"/>
                    <a:ext cx="3490133" cy="9263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FEA7A26" w14:textId="77777777" w:rsidR="00833545" w:rsidRDefault="00833545"/>
  <w:p w14:paraId="115CEEF5" w14:textId="77777777" w:rsidR="00833545" w:rsidRDefault="00833545"/>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894"/>
    <w:rsid w:val="0003290D"/>
    <w:rsid w:val="00041517"/>
    <w:rsid w:val="000D4DDD"/>
    <w:rsid w:val="000F4AFD"/>
    <w:rsid w:val="001122FF"/>
    <w:rsid w:val="00132487"/>
    <w:rsid w:val="001546F3"/>
    <w:rsid w:val="001761F2"/>
    <w:rsid w:val="00181AD9"/>
    <w:rsid w:val="00185866"/>
    <w:rsid w:val="001D782F"/>
    <w:rsid w:val="001E7476"/>
    <w:rsid w:val="00260673"/>
    <w:rsid w:val="00273CAE"/>
    <w:rsid w:val="00286FC6"/>
    <w:rsid w:val="002A4CB3"/>
    <w:rsid w:val="0036100F"/>
    <w:rsid w:val="003D61D1"/>
    <w:rsid w:val="003F65A5"/>
    <w:rsid w:val="00480D20"/>
    <w:rsid w:val="004940D1"/>
    <w:rsid w:val="004C7F7B"/>
    <w:rsid w:val="005237D4"/>
    <w:rsid w:val="00526AC8"/>
    <w:rsid w:val="0056660C"/>
    <w:rsid w:val="005B6429"/>
    <w:rsid w:val="005B6746"/>
    <w:rsid w:val="0062285D"/>
    <w:rsid w:val="00623763"/>
    <w:rsid w:val="00656B12"/>
    <w:rsid w:val="00661BD4"/>
    <w:rsid w:val="0066309F"/>
    <w:rsid w:val="0068174A"/>
    <w:rsid w:val="006B57DC"/>
    <w:rsid w:val="006C24DC"/>
    <w:rsid w:val="00735805"/>
    <w:rsid w:val="00747CC9"/>
    <w:rsid w:val="007635B6"/>
    <w:rsid w:val="007857DD"/>
    <w:rsid w:val="00814DD5"/>
    <w:rsid w:val="00833545"/>
    <w:rsid w:val="008B1EDC"/>
    <w:rsid w:val="008F750E"/>
    <w:rsid w:val="00935CB9"/>
    <w:rsid w:val="00990A65"/>
    <w:rsid w:val="009A015D"/>
    <w:rsid w:val="00A2650F"/>
    <w:rsid w:val="00A41A7C"/>
    <w:rsid w:val="00B15EDC"/>
    <w:rsid w:val="00B16FAF"/>
    <w:rsid w:val="00B216B8"/>
    <w:rsid w:val="00B31035"/>
    <w:rsid w:val="00B51083"/>
    <w:rsid w:val="00B778E6"/>
    <w:rsid w:val="00B90028"/>
    <w:rsid w:val="00BF579B"/>
    <w:rsid w:val="00C45B7F"/>
    <w:rsid w:val="00C6185E"/>
    <w:rsid w:val="00C7079D"/>
    <w:rsid w:val="00C766C5"/>
    <w:rsid w:val="00C90EAF"/>
    <w:rsid w:val="00CB3732"/>
    <w:rsid w:val="00CB4C26"/>
    <w:rsid w:val="00CB4FE2"/>
    <w:rsid w:val="00CC3455"/>
    <w:rsid w:val="00D20ECB"/>
    <w:rsid w:val="00D85794"/>
    <w:rsid w:val="00D924CA"/>
    <w:rsid w:val="00DC0917"/>
    <w:rsid w:val="00DF3E9E"/>
    <w:rsid w:val="00E3051D"/>
    <w:rsid w:val="00E32894"/>
    <w:rsid w:val="00E41BEE"/>
    <w:rsid w:val="00E72CD2"/>
    <w:rsid w:val="00E87046"/>
    <w:rsid w:val="00E94832"/>
    <w:rsid w:val="00EC5876"/>
    <w:rsid w:val="00EE5187"/>
    <w:rsid w:val="00EE53C1"/>
    <w:rsid w:val="00F06502"/>
    <w:rsid w:val="00F237BC"/>
    <w:rsid w:val="00F23BC5"/>
    <w:rsid w:val="00F32348"/>
    <w:rsid w:val="00F44F5E"/>
    <w:rsid w:val="00F96D11"/>
    <w:rsid w:val="00FE4BB4"/>
    <w:rsid w:val="00FE4BB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E5214F"/>
  <w15:docId w15:val="{DDD5D98B-F3D9-4C30-8F99-05F21CAEB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Cabealho">
    <w:name w:val="header"/>
    <w:basedOn w:val="Normal"/>
    <w:link w:val="CabealhoChar"/>
    <w:uiPriority w:val="99"/>
    <w:unhideWhenUsed/>
    <w:rsid w:val="002E12C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E12C1"/>
  </w:style>
  <w:style w:type="paragraph" w:styleId="Rodap">
    <w:name w:val="footer"/>
    <w:basedOn w:val="Normal"/>
    <w:link w:val="RodapChar"/>
    <w:uiPriority w:val="99"/>
    <w:unhideWhenUsed/>
    <w:rsid w:val="002E12C1"/>
    <w:pPr>
      <w:tabs>
        <w:tab w:val="center" w:pos="4252"/>
        <w:tab w:val="right" w:pos="8504"/>
      </w:tabs>
      <w:spacing w:after="0" w:line="240" w:lineRule="auto"/>
    </w:pPr>
  </w:style>
  <w:style w:type="character" w:customStyle="1" w:styleId="RodapChar">
    <w:name w:val="Rodapé Char"/>
    <w:basedOn w:val="Fontepargpadro"/>
    <w:link w:val="Rodap"/>
    <w:uiPriority w:val="99"/>
    <w:qFormat/>
    <w:rsid w:val="002E12C1"/>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Nmerodepgina">
    <w:name w:val="page number"/>
    <w:basedOn w:val="Fontepargpadro"/>
    <w:uiPriority w:val="99"/>
    <w:semiHidden/>
    <w:unhideWhenUsed/>
    <w:rsid w:val="00D3013F"/>
  </w:style>
  <w:style w:type="character" w:styleId="Hyperlink">
    <w:name w:val="Hyperlink"/>
    <w:basedOn w:val="Fontepargpadro"/>
    <w:uiPriority w:val="99"/>
    <w:unhideWhenUsed/>
    <w:rsid w:val="003D61D1"/>
    <w:rPr>
      <w:color w:val="0563C1" w:themeColor="hyperlink"/>
      <w:u w:val="single"/>
    </w:rPr>
  </w:style>
  <w:style w:type="character" w:customStyle="1" w:styleId="UnresolvedMention">
    <w:name w:val="Unresolved Mention"/>
    <w:basedOn w:val="Fontepargpadro"/>
    <w:uiPriority w:val="99"/>
    <w:semiHidden/>
    <w:unhideWhenUsed/>
    <w:rsid w:val="003D61D1"/>
    <w:rPr>
      <w:color w:val="605E5C"/>
      <w:shd w:val="clear" w:color="auto" w:fill="E1DFDD"/>
    </w:rPr>
  </w:style>
  <w:style w:type="paragraph" w:styleId="NormalWeb">
    <w:name w:val="Normal (Web)"/>
    <w:basedOn w:val="Normal"/>
    <w:uiPriority w:val="99"/>
    <w:rsid w:val="00B90028"/>
    <w:pPr>
      <w:spacing w:before="100" w:after="100" w:line="240" w:lineRule="auto"/>
    </w:pPr>
    <w:rPr>
      <w:rFonts w:ascii="Times New Roman" w:eastAsia="Times New Roman" w:hAnsi="Times New Roman" w:cs="Times New Roman"/>
      <w:sz w:val="24"/>
      <w:szCs w:val="20"/>
    </w:rPr>
  </w:style>
  <w:style w:type="paragraph" w:styleId="Textodenotaderodap">
    <w:name w:val="footnote text"/>
    <w:aliases w:val="Texto de rodapé"/>
    <w:basedOn w:val="Normal"/>
    <w:link w:val="TextodenotaderodapChar"/>
    <w:autoRedefine/>
    <w:uiPriority w:val="99"/>
    <w:rsid w:val="00B90028"/>
    <w:pPr>
      <w:spacing w:after="0" w:line="240" w:lineRule="auto"/>
      <w:jc w:val="both"/>
    </w:pPr>
    <w:rPr>
      <w:rFonts w:ascii="Times New Roman" w:eastAsia="Times New Roman" w:hAnsi="Times New Roman" w:cs="Times New Roman"/>
      <w:spacing w:val="-4"/>
      <w:sz w:val="20"/>
      <w:szCs w:val="20"/>
      <w:lang w:val="x-none" w:eastAsia="x-none"/>
    </w:rPr>
  </w:style>
  <w:style w:type="character" w:customStyle="1" w:styleId="TextodenotaderodapChar">
    <w:name w:val="Texto de nota de rodapé Char"/>
    <w:aliases w:val="Texto de rodapé Char"/>
    <w:basedOn w:val="Fontepargpadro"/>
    <w:link w:val="Textodenotaderodap"/>
    <w:uiPriority w:val="99"/>
    <w:rsid w:val="00B90028"/>
    <w:rPr>
      <w:rFonts w:ascii="Times New Roman" w:eastAsia="Times New Roman" w:hAnsi="Times New Roman" w:cs="Times New Roman"/>
      <w:spacing w:val="-4"/>
      <w:sz w:val="20"/>
      <w:szCs w:val="20"/>
      <w:lang w:val="x-none" w:eastAsia="x-none"/>
    </w:rPr>
  </w:style>
  <w:style w:type="character" w:styleId="Refdenotaderodap">
    <w:name w:val="footnote reference"/>
    <w:aliases w:val="Referência de rodapé"/>
    <w:uiPriority w:val="99"/>
    <w:rsid w:val="00B90028"/>
    <w:rPr>
      <w:vertAlign w:val="superscript"/>
    </w:rPr>
  </w:style>
  <w:style w:type="paragraph" w:customStyle="1" w:styleId="paragraph">
    <w:name w:val="paragraph"/>
    <w:basedOn w:val="Normal"/>
    <w:rsid w:val="00B900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ontepargpadro"/>
    <w:rsid w:val="00B90028"/>
  </w:style>
  <w:style w:type="character" w:styleId="Refdecomentrio">
    <w:name w:val="annotation reference"/>
    <w:uiPriority w:val="99"/>
    <w:rsid w:val="004940D1"/>
    <w:rPr>
      <w:sz w:val="16"/>
      <w:szCs w:val="16"/>
    </w:rPr>
  </w:style>
  <w:style w:type="paragraph" w:styleId="Textodecomentrio">
    <w:name w:val="annotation text"/>
    <w:basedOn w:val="Normal"/>
    <w:link w:val="TextodecomentrioChar"/>
    <w:uiPriority w:val="99"/>
    <w:rsid w:val="004940D1"/>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rsid w:val="004940D1"/>
    <w:rPr>
      <w:rFonts w:ascii="Times New Roman" w:eastAsia="Times New Roman" w:hAnsi="Times New Roman" w:cs="Times New Roman"/>
      <w:sz w:val="20"/>
      <w:szCs w:val="20"/>
    </w:rPr>
  </w:style>
  <w:style w:type="table" w:styleId="Tabelacomgrade">
    <w:name w:val="Table Grid"/>
    <w:basedOn w:val="Tabelanormal"/>
    <w:uiPriority w:val="39"/>
    <w:rsid w:val="001E7476"/>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ergio.rf.figueira@unesp.br" TargetMode="External"/><Relationship Id="rId13" Type="http://schemas.openxmlformats.org/officeDocument/2006/relationships/image" Target="media/image4.png"/><Relationship Id="rId18" Type="http://schemas.openxmlformats.org/officeDocument/2006/relationships/hyperlink" Target="http://www.agricultura.gov.br/" TargetMode="External"/><Relationship Id="rId26" Type="http://schemas.openxmlformats.org/officeDocument/2006/relationships/hyperlink" Target="http://www.usda.gov" TargetMode="External"/><Relationship Id="rId3" Type="http://schemas.openxmlformats.org/officeDocument/2006/relationships/settings" Target="settings.xml"/><Relationship Id="rId21" Type="http://schemas.openxmlformats.org/officeDocument/2006/relationships/hyperlink" Target="http://www.fao.org/worldfoodsituation/foodpricesindex/es/" TargetMode="External"/><Relationship Id="rId7" Type="http://schemas.openxmlformats.org/officeDocument/2006/relationships/hyperlink" Target="mailto:jose.baccarin@unesp.br" TargetMode="External"/><Relationship Id="rId12" Type="http://schemas.openxmlformats.org/officeDocument/2006/relationships/image" Target="media/image3.png"/><Relationship Id="rId17" Type="http://schemas.openxmlformats.org/officeDocument/2006/relationships/hyperlink" Target="https://www.gov.br/agricultura/pt-br/assuntos/laboratorios/" TargetMode="External"/><Relationship Id="rId25" Type="http://schemas.openxmlformats.org/officeDocument/2006/relationships/hyperlink" Target="http://repositorio.ipea.gov.br/handle/%2011058/3549" TargetMode="External"/><Relationship Id="rId2" Type="http://schemas.openxmlformats.org/officeDocument/2006/relationships/styles" Target="styles.xml"/><Relationship Id="rId16" Type="http://schemas.openxmlformats.org/officeDocument/2006/relationships/hyperlink" Target="https://www.defesa.agricultura.sp.gov.br/" TargetMode="External"/><Relationship Id="rId20" Type="http://schemas.openxmlformats.org/officeDocument/2006/relationships/hyperlink" Target="http://www.fao.org/faostat/e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sidra" TargetMode="External"/><Relationship Id="rId5" Type="http://schemas.openxmlformats.org/officeDocument/2006/relationships/footnotes" Target="footnotes.xml"/><Relationship Id="rId15" Type="http://schemas.openxmlformats.org/officeDocument/2006/relationships/hyperlink" Target="https://doi.org/10.3177/" TargetMode="External"/><Relationship Id="rId23" Type="http://schemas.openxmlformats.org/officeDocument/2006/relationships/hyperlink" Target="https://sidra.ibge.gov.br/" TargetMode="External"/><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www.cepal.org/sites/default/files/publication/" TargetMode="External"/><Relationship Id="rId4" Type="http://schemas.openxmlformats.org/officeDocument/2006/relationships/webSettings" Target="webSettings.xml"/><Relationship Id="rId9" Type="http://schemas.openxmlformats.org/officeDocument/2006/relationships/hyperlink" Target="mailto:jpsmagro@gmail.com" TargetMode="External"/><Relationship Id="rId14" Type="http://schemas.openxmlformats.org/officeDocument/2006/relationships/image" Target="media/image5.png"/><Relationship Id="rId22" Type="http://schemas.openxmlformats.org/officeDocument/2006/relationships/hyperlink" Target="http://hdl.handle.net/" TargetMode="External"/><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notes.xml.rels><?xml version="1.0" encoding="UTF-8" standalone="yes"?>
<Relationships xmlns="http://schemas.openxmlformats.org/package/2006/relationships"><Relationship Id="rId2" Type="http://schemas.openxmlformats.org/officeDocument/2006/relationships/hyperlink" Target="https://github.com/JP-Magro/IAIABr" TargetMode="External"/><Relationship Id="rId1" Type="http://schemas.openxmlformats.org/officeDocument/2006/relationships/hyperlink" Target="https://www.fcav.unesp.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RQiuD6Hj1h1dm/7u/i5pjzb6W6A==">AMUW2mXT3U/8oEpV+0NKA8MSpViB/sZ39WR6o+kDdP6MNe7jtyPDOaGrB4sHm11hcc/2x2vUtFc4ZhIGAe9ocIKQD9u4OdEHxajRJG8V4vqeohYQtfcogm1945+bdbsFbhGBbagDOICa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9295</Words>
  <Characters>50198</Characters>
  <Application>Microsoft Office Word</Application>
  <DocSecurity>0</DocSecurity>
  <Lines>418</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Isabela Romanha de Alcântara</dc:creator>
  <cp:lastModifiedBy>Usuario</cp:lastModifiedBy>
  <cp:revision>2</cp:revision>
  <cp:lastPrinted>2023-02-01T19:49:00Z</cp:lastPrinted>
  <dcterms:created xsi:type="dcterms:W3CDTF">2023-02-08T17:43:00Z</dcterms:created>
  <dcterms:modified xsi:type="dcterms:W3CDTF">2023-02-08T17:43:00Z</dcterms:modified>
</cp:coreProperties>
</file>