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response policy (starter)</w:t>
      </w:r>
    </w:p>
    <w:p>
      <w:pPr>
        <w:pStyle w:val="Date"/>
      </w:pPr>
      <w:r>
        <w:t xml:space="preserve">2026-09-01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and fill severity definitions that match how you actually page people.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roles (commander, comms, legal, exec) — not generic “Security team.”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</w:t>
      </w:r>
      <w:r>
        <w:t xml:space="preserve"> </w:t>
      </w:r>
      <w:r>
        <w:t xml:space="preserve">detect → report → triage → contain → communicate → recover to your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review</w:t>
      </w:r>
      <w:r>
        <w:t xml:space="preserve"> </w:t>
      </w:r>
      <w:r>
        <w:t xml:space="preserve">before customer or regulator language ships.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</w:t>
      </w:r>
      <w:r>
        <w:t xml:space="preserve"> </w:t>
      </w:r>
      <w:r>
        <w:t xml:space="preserve">once a year; update the policy when the exercise shows drift.</w:t>
      </w:r>
    </w:p>
    <w:p>
      <w:pPr>
        <w:pStyle w:val="FirstParagraph"/>
      </w:pPr>
      <w:r>
        <w:rPr>
          <w:b/>
          <w:bCs/>
        </w:rPr>
        <w:t xml:space="preserve">Pair with:</w:t>
      </w:r>
      <w:r>
        <w:t xml:space="preserve"> </w:t>
      </w:r>
      <w:r>
        <w:t xml:space="preserve">Incident intake form for the first capture.</w:t>
      </w:r>
      <w:r>
        <w:br/>
      </w:r>
      <w:r>
        <w:rPr>
          <w:b/>
          <w:bCs/>
        </w:rPr>
        <w:t xml:space="preserve">Not:</w:t>
      </w:r>
      <w:r>
        <w:t xml:space="preserve"> </w:t>
      </w:r>
      <w:r>
        <w:t xml:space="preserve">a playbook for every product, or breach counsel.</w:t>
      </w:r>
    </w:p>
    <w:p>
      <w:pPr>
        <w:pStyle w:val="BodyText"/>
      </w:pPr>
      <w:r>
        <w:t xml:space="preserve">Download DOCX or PDF for offline editing and review.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policy (starter)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download">
    <vt:lpwstr>/downloads/resources/incident-response-policy.md</vt:lpwstr>
  </property>
  <property fmtid="{D5CDD505-2E9C-101B-9397-08002B2CF9AE}" pid="4" name="kind">
    <vt:lpwstr>policy</vt:lpwstr>
  </property>
  <property fmtid="{D5CDD505-2E9C-101B-9397-08002B2CF9AE}" pid="5" name="order">
    <vt:lpwstr>310</vt:lpwstr>
  </property>
  <property fmtid="{D5CDD505-2E9C-101B-9397-08002B2CF9AE}" pid="6" name="status">
    <vt:lpwstr>ready</vt:lpwstr>
  </property>
  <property fmtid="{D5CDD505-2E9C-101B-9397-08002B2CF9AE}" pid="7" name="summary">
    <vt:lpwstr>Detect → recover with your severity table. Pair with first-hour intake.</vt:lpwstr>
  </property>
</Properties>
</file>