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Policy exception and risk-acceptance log</w:t>
      </w:r>
    </w:p>
    <w:p>
      <w:pPr>
        <w:pStyle w:val="Date"/>
      </w:pPr>
      <w:r>
        <w:t xml:space="preserve">2026-09-01</w:t>
      </w:r>
    </w:p>
    <w:bookmarkStart w:id="9" w:name="how-to-use-this-document"/>
    <w:p>
      <w:pPr>
        <w:pStyle w:val="Heading2"/>
      </w:pPr>
      <w:r>
        <w:t xml:space="preserve">How to use this document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Choose a format</w:t>
      </w:r>
      <w:r>
        <w:t xml:space="preserve"> </w:t>
      </w:r>
      <w:r>
        <w:t xml:space="preserve">for the single register of accepted policy deviations.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exception needs</w:t>
      </w:r>
      <w:r>
        <w:t xml:space="preserve"> </w:t>
      </w:r>
      <w:r>
        <w:t xml:space="preserve">owner, compensating control, expiry, and approver.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on cadence</w:t>
      </w:r>
      <w:r>
        <w:t xml:space="preserve"> </w:t>
      </w:r>
      <w:r>
        <w:t xml:space="preserve">(monthly or quarterly). Expired rows close or renew deliberately.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leave “permanent” without an explicit residual-risk acceptance.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Export</w:t>
      </w:r>
      <w:r>
        <w:t xml:space="preserve"> </w:t>
      </w:r>
      <w:r>
        <w:t xml:space="preserve">before audits as evidence that exceptions are governed.</w:t>
      </w:r>
    </w:p>
    <w:p>
      <w:pPr>
        <w:pStyle w:val="FirstParagraph"/>
      </w:pPr>
      <w:r>
        <w:rPr>
          <w:b/>
          <w:bCs/>
        </w:rPr>
        <w:t xml:space="preserve">Good for:</w:t>
      </w:r>
      <w:r>
        <w:t xml:space="preserve"> </w:t>
      </w:r>
      <w:r>
        <w:t xml:space="preserve">MFA skip lists, unprotected admin paths, temporary vendor waivers.</w:t>
      </w:r>
      <w:r>
        <w:br/>
      </w:r>
      <w:r>
        <w:rPr>
          <w:b/>
          <w:bCs/>
        </w:rPr>
        <w:t xml:space="preserve">Not:</w:t>
      </w:r>
      <w:r>
        <w:t xml:space="preserve"> </w:t>
      </w:r>
      <w:r>
        <w:t xml:space="preserve">a substitute for fixing the control.</w:t>
      </w:r>
    </w:p>
    <w:p>
      <w:pPr>
        <w:pStyle w:val="BodyText"/>
      </w:pPr>
      <w:r>
        <w:t xml:space="preserve">Download DOCX or PDF for offline use.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exception and risk-acceptance log</dc:title>
  <dc:creator/>
  <cp:keywords/>
  <dcterms:created xsi:type="dcterms:W3CDTF">2026-09-03T15:48:19Z</dcterms:created>
  <dcterms:modified xsi:type="dcterms:W3CDTF">2026-09-03T15:48:19Z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2026-09-01</vt:lpwstr>
  </property>
  <property fmtid="{D5CDD505-2E9C-101B-9397-08002B2CF9AE}" pid="3" name="download">
    <vt:lpwstr>/downloads/resources/policy-exception-log.md</vt:lpwstr>
  </property>
  <property fmtid="{D5CDD505-2E9C-101B-9397-08002B2CF9AE}" pid="4" name="kind">
    <vt:lpwstr>form</vt:lpwstr>
  </property>
  <property fmtid="{D5CDD505-2E9C-101B-9397-08002B2CF9AE}" pid="5" name="order">
    <vt:lpwstr>50</vt:lpwstr>
  </property>
  <property fmtid="{D5CDD505-2E9C-101B-9397-08002B2CF9AE}" pid="6" name="status">
    <vt:lpwstr>ready</vt:lpwstr>
  </property>
  <property fmtid="{D5CDD505-2E9C-101B-9397-08002B2CF9AE}" pid="7" name="summary">
    <vt:lpwstr>Register so MFA skips, unprotected paths, and waivers expire instead of becoming culture.</vt:lpwstr>
  </property>
</Properties>
</file>