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Vendor security questionnaire (intake)</w:t>
      </w:r>
    </w:p>
    <w:bookmarkStart w:id="13" w:name="vendor-security-questionnaire-intake"/>
    <w:p>
      <w:pPr>
        <w:pStyle w:val="Heading1"/>
      </w:pPr>
      <w:r>
        <w:t xml:space="preserve">Vendor security questionnaire (intake)</w:t>
      </w:r>
    </w:p>
    <w:p>
      <w:pPr>
        <w:pStyle w:val="FirstParagraph"/>
      </w:pPr>
      <w:r>
        <w:t xml:space="preserve">Purpose: one-page TPRM intake + evidence asks before SaaS touches production or customer data.</w:t>
      </w:r>
    </w:p>
    <w:p>
      <w:pPr>
        <w:pStyle w:val="BodyText"/>
      </w:pPr>
      <w:r>
        <w:t xml:space="preserve">Honest limits:</w:t>
      </w:r>
      <w:r>
        <w:t xml:space="preserve"> </w:t>
      </w:r>
      <w:r>
        <w:t xml:space="preserve">- First-pass intake only; not a full SIG, CAIQ, DPA, or legal review.</w:t>
      </w:r>
      <w:r>
        <w:t xml:space="preserve"> </w:t>
      </w:r>
      <w:r>
        <w:t xml:space="preserve">- Use the vendor’s real attestations and summaries; do not invent control coverage.</w:t>
      </w:r>
    </w:p>
    <w:bookmarkStart w:id="9" w:name="request-context"/>
    <w:p>
      <w:pPr>
        <w:pStyle w:val="Heading2"/>
      </w:pPr>
      <w:r>
        <w:t xml:space="preserve">Request context</w:t>
      </w:r>
    </w:p>
    <w:p>
      <w:pPr>
        <w:pStyle w:val="FirstParagraph"/>
      </w:pPr>
      <w:r>
        <w:t xml:space="preserve">Requester / team: ________________________________</w:t>
      </w:r>
    </w:p>
    <w:p>
      <w:pPr>
        <w:pStyle w:val="BodyText"/>
      </w:pPr>
      <w:r>
        <w:t xml:space="preserve">Vendor / product name: ________________________________</w:t>
      </w:r>
    </w:p>
    <w:p>
      <w:pPr>
        <w:pStyle w:val="BodyText"/>
      </w:pPr>
      <w:r>
        <w:t xml:space="preserve">Business use case: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go-live date: ________________________________</w:t>
      </w:r>
    </w:p>
    <w:bookmarkEnd w:id="9"/>
    <w:bookmarkStart w:id="10" w:name="data-and-access"/>
    <w:p>
      <w:pPr>
        <w:pStyle w:val="Heading2"/>
      </w:pPr>
      <w:r>
        <w:t xml:space="preserve">Data and access</w:t>
      </w:r>
    </w:p>
    <w:p>
      <w:pPr>
        <w:pStyle w:val="FirstParagraph"/>
      </w:pPr>
      <w:r>
        <w:t xml:space="preserve">Data classes involved:</w:t>
      </w:r>
    </w:p>
    <w:p>
      <w:pPr>
        <w:pStyle w:val="Compact"/>
        <w:numPr>
          <w:ilvl w:val="0"/>
          <w:numId w:val="1001"/>
        </w:numPr>
      </w:pPr>
      <w:r>
        <w:t xml:space="preserve">Customer content</w:t>
      </w:r>
    </w:p>
    <w:p>
      <w:pPr>
        <w:pStyle w:val="Compact"/>
        <w:numPr>
          <w:ilvl w:val="0"/>
          <w:numId w:val="1002"/>
        </w:numPr>
      </w:pPr>
      <w:r>
        <w:t xml:space="preserve">PII</w:t>
      </w:r>
    </w:p>
    <w:p>
      <w:pPr>
        <w:pStyle w:val="Compact"/>
        <w:numPr>
          <w:ilvl w:val="0"/>
          <w:numId w:val="1003"/>
        </w:numPr>
      </w:pPr>
      <w:r>
        <w:t xml:space="preserve">Secrets / credentials</w:t>
      </w:r>
    </w:p>
    <w:p>
      <w:pPr>
        <w:pStyle w:val="Compact"/>
        <w:numPr>
          <w:ilvl w:val="0"/>
          <w:numId w:val="1004"/>
        </w:numPr>
      </w:pPr>
      <w:r>
        <w:t xml:space="preserve">Card data</w:t>
      </w:r>
    </w:p>
    <w:p>
      <w:pPr>
        <w:pStyle w:val="Compact"/>
        <w:numPr>
          <w:ilvl w:val="0"/>
          <w:numId w:val="1005"/>
        </w:numPr>
      </w:pPr>
      <w:r>
        <w:t xml:space="preserve">No sensitive data</w:t>
      </w:r>
    </w:p>
    <w:p>
      <w:pPr>
        <w:pStyle w:val="FirstParagraph"/>
      </w:pPr>
      <w:r>
        <w:t xml:space="preserve">Hosting region / residency constraints: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Production access path: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required-evidence"/>
    <w:p>
      <w:pPr>
        <w:pStyle w:val="Heading2"/>
      </w:pPr>
      <w:r>
        <w:t xml:space="preserve">Required evidence</w:t>
      </w:r>
    </w:p>
    <w:p>
      <w:pPr>
        <w:pStyle w:val="FirstParagraph"/>
      </w:pPr>
      <w:r>
        <w:t xml:space="preserve">Evidence requested:</w:t>
      </w:r>
    </w:p>
    <w:p>
      <w:pPr>
        <w:pStyle w:val="Compact"/>
        <w:numPr>
          <w:ilvl w:val="0"/>
          <w:numId w:val="1006"/>
        </w:numPr>
      </w:pPr>
      <w:r>
        <w:t xml:space="preserve">SOC 2 report</w:t>
      </w:r>
    </w:p>
    <w:p>
      <w:pPr>
        <w:pStyle w:val="Compact"/>
        <w:numPr>
          <w:ilvl w:val="0"/>
          <w:numId w:val="1007"/>
        </w:numPr>
      </w:pPr>
      <w:r>
        <w:t xml:space="preserve">ISO certificate</w:t>
      </w:r>
    </w:p>
    <w:p>
      <w:pPr>
        <w:pStyle w:val="Compact"/>
        <w:numPr>
          <w:ilvl w:val="0"/>
          <w:numId w:val="1008"/>
        </w:numPr>
      </w:pPr>
      <w:r>
        <w:t xml:space="preserve">Pen-test summary</w:t>
      </w:r>
    </w:p>
    <w:p>
      <w:pPr>
        <w:pStyle w:val="Compact"/>
        <w:numPr>
          <w:ilvl w:val="0"/>
          <w:numId w:val="1009"/>
        </w:numPr>
      </w:pPr>
      <w:r>
        <w:t xml:space="preserve">Subprocessor list</w:t>
      </w:r>
    </w:p>
    <w:p>
      <w:pPr>
        <w:pStyle w:val="Compact"/>
        <w:numPr>
          <w:ilvl w:val="0"/>
          <w:numId w:val="1010"/>
        </w:numPr>
      </w:pPr>
      <w:r>
        <w:t xml:space="preserve">DPA / terms</w:t>
      </w:r>
    </w:p>
    <w:p>
      <w:pPr>
        <w:pStyle w:val="FirstParagraph"/>
      </w:pPr>
      <w:r>
        <w:t xml:space="preserve">Residual risk notes: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review-verdict"/>
    <w:p>
      <w:pPr>
        <w:pStyle w:val="Heading2"/>
      </w:pPr>
      <w:r>
        <w:t xml:space="preserve">Review verdict</w:t>
      </w:r>
    </w:p>
    <w:p>
      <w:pPr>
        <w:pStyle w:val="FirstParagraph"/>
      </w:pPr>
      <w:r>
        <w:t xml:space="preserve">Disposition:</w:t>
      </w:r>
    </w:p>
    <w:p>
      <w:pPr>
        <w:pStyle w:val="Compact"/>
        <w:numPr>
          <w:ilvl w:val="0"/>
          <w:numId w:val="1011"/>
        </w:numPr>
      </w:pPr>
      <w:r>
        <w:t xml:space="preserve">Approve</w:t>
      </w:r>
    </w:p>
    <w:p>
      <w:pPr>
        <w:pStyle w:val="Compact"/>
        <w:numPr>
          <w:ilvl w:val="0"/>
          <w:numId w:val="1012"/>
        </w:numPr>
      </w:pPr>
      <w:r>
        <w:t xml:space="preserve">Approve with conditions</w:t>
      </w:r>
    </w:p>
    <w:p>
      <w:pPr>
        <w:pStyle w:val="Compact"/>
        <w:numPr>
          <w:ilvl w:val="0"/>
          <w:numId w:val="1013"/>
        </w:numPr>
      </w:pPr>
      <w:r>
        <w:t xml:space="preserve">Escalate</w:t>
      </w:r>
    </w:p>
    <w:p>
      <w:pPr>
        <w:pStyle w:val="Compact"/>
        <w:numPr>
          <w:ilvl w:val="0"/>
          <w:numId w:val="1014"/>
        </w:numPr>
      </w:pPr>
      <w:r>
        <w:t xml:space="preserve">Do not approve</w:t>
      </w:r>
    </w:p>
    <w:p>
      <w:pPr>
        <w:pStyle w:val="FirstParagraph"/>
      </w:pPr>
      <w:r>
        <w:t xml:space="preserve">Reviewer / approver: ________________________________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security questionnaire (intake)</dc:title>
  <dc:creator/>
  <cp:keywords/>
  <dcterms:created xsi:type="dcterms:W3CDTF">2026-09-03T15:48:19Z</dcterms:created>
  <dcterms:modified xsi:type="dcterms:W3CDTF">2026-09-03T15:48:19Z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