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Fase de Entendimiento de Negocio</w:t>
      </w:r>
    </w:p>
    <w:p w:rsidR="00000000" w:rsidDel="00000000" w:rsidP="00000000" w:rsidRDefault="00000000" w:rsidRPr="00000000" w14:paraId="0000000A">
      <w:pPr>
        <w:spacing w:after="160" w:line="278.00000000000006" w:lineRule="auto"/>
        <w:jc w:val="center"/>
        <w:rPr>
          <w:rFonts w:ascii="Aptos" w:cs="Aptos" w:eastAsia="Aptos" w:hAnsi="Aptos"/>
          <w:sz w:val="34"/>
          <w:szCs w:val="34"/>
        </w:rPr>
      </w:pPr>
      <w:r w:rsidDel="00000000" w:rsidR="00000000" w:rsidRPr="00000000">
        <w:rPr>
          <w:rFonts w:ascii="Aptos" w:cs="Aptos" w:eastAsia="Aptos" w:hAnsi="Aptos"/>
          <w:sz w:val="34"/>
          <w:szCs w:val="34"/>
          <w:rtl w:val="0"/>
        </w:rPr>
        <w:t xml:space="preserve">Reporte de Inicial de Recolección de Datos</w:t>
      </w:r>
    </w:p>
    <w:p w:rsidR="00000000" w:rsidDel="00000000" w:rsidP="00000000" w:rsidRDefault="00000000" w:rsidRPr="00000000" w14:paraId="0000000B">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4">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5">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6">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7">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8">
      <w:pPr>
        <w:jc w:val="center"/>
        <w:rPr>
          <w:rFonts w:ascii="Open Sans" w:cs="Open Sans" w:eastAsia="Open Sans" w:hAnsi="Open Sans"/>
          <w:b w:val="1"/>
          <w:sz w:val="24"/>
          <w:szCs w:val="24"/>
        </w:rPr>
      </w:pPr>
      <w:r w:rsidDel="00000000" w:rsidR="00000000" w:rsidRPr="00000000">
        <w:rPr>
          <w:rFonts w:ascii="Aptos" w:cs="Aptos" w:eastAsia="Aptos" w:hAnsi="Aptos"/>
          <w:sz w:val="24"/>
          <w:szCs w:val="24"/>
          <w:rtl w:val="0"/>
        </w:rPr>
        <w:t xml:space="preserve">9 de Octubre del 2024</w:t>
      </w:r>
      <w:r w:rsidDel="00000000" w:rsidR="00000000" w:rsidRPr="00000000">
        <w:rPr>
          <w:rtl w:val="0"/>
        </w:rPr>
      </w:r>
    </w:p>
    <w:p w:rsidR="00000000" w:rsidDel="00000000" w:rsidP="00000000" w:rsidRDefault="00000000" w:rsidRPr="00000000" w14:paraId="00000019">
      <w:pPr>
        <w:spacing w:after="240" w:before="24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Reporte Inicial de Recolección de Datos</w:t>
      </w:r>
    </w:p>
    <w:p w:rsidR="00000000" w:rsidDel="00000000" w:rsidP="00000000" w:rsidRDefault="00000000" w:rsidRPr="00000000" w14:paraId="0000001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proyecto en el </w:t>
      </w:r>
      <w:r w:rsidDel="00000000" w:rsidR="00000000" w:rsidRPr="00000000">
        <w:rPr>
          <w:rFonts w:ascii="Open Sans" w:cs="Open Sans" w:eastAsia="Open Sans" w:hAnsi="Open Sans"/>
          <w:b w:val="1"/>
          <w:rtl w:val="0"/>
        </w:rPr>
        <w:t xml:space="preserve">Centro de Agricultura Experimental y Tecnología (CAETEC)</w:t>
      </w:r>
      <w:r w:rsidDel="00000000" w:rsidR="00000000" w:rsidRPr="00000000">
        <w:rPr>
          <w:rFonts w:ascii="Open Sans" w:cs="Open Sans" w:eastAsia="Open Sans" w:hAnsi="Open Sans"/>
          <w:rtl w:val="0"/>
        </w:rPr>
        <w:t xml:space="preserve"> busca optimizar el espacio de descanso de las vacas utilizando tecnologías avanzadas para monitorear su comportamiento en las camas. El proceso comenzó con la recolección de un conjunto de datos de imágenes proporcionado por el equipo de CAETEC. En total, se obtuvieron 9634 imágenes, que fueron almacenadas en una</w:t>
      </w:r>
      <w:hyperlink r:id="rId7">
        <w:r w:rsidDel="00000000" w:rsidR="00000000" w:rsidRPr="00000000">
          <w:rPr>
            <w:rFonts w:ascii="Open Sans" w:cs="Open Sans" w:eastAsia="Open Sans" w:hAnsi="Open Sans"/>
            <w:color w:val="1155cc"/>
            <w:u w:val="single"/>
            <w:rtl w:val="0"/>
          </w:rPr>
          <w:t xml:space="preserve"> carpeta de Onedrive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B">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realizar un análisis eficiente, el equipo decidió seleccionar 4004 imágenes. Estas imágenes se distribuyeron equitativamente entre los miembros de ambos equipos. El primer paso del proceso fue recortar manualmente las imágenes para centrarse en las camas de las vacas. Posteriormente, se procedió a etiquetar cada cama dentro de las imágenes en una de las siguientes tres categorías:</w:t>
      </w:r>
    </w:p>
    <w:p w:rsidR="00000000" w:rsidDel="00000000" w:rsidP="00000000" w:rsidRDefault="00000000" w:rsidRPr="00000000" w14:paraId="0000001C">
      <w:pPr>
        <w:numPr>
          <w:ilvl w:val="0"/>
          <w:numId w:val="1"/>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Cama vacía</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Cama con vaca parada</w:t>
      </w:r>
    </w:p>
    <w:p w:rsidR="00000000" w:rsidDel="00000000" w:rsidP="00000000" w:rsidRDefault="00000000" w:rsidRPr="00000000" w14:paraId="0000001E">
      <w:pPr>
        <w:numPr>
          <w:ilvl w:val="0"/>
          <w:numId w:val="1"/>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Cama con vaca acostada</w:t>
      </w:r>
    </w:p>
    <w:p w:rsidR="00000000" w:rsidDel="00000000" w:rsidP="00000000" w:rsidRDefault="00000000" w:rsidRPr="00000000" w14:paraId="0000001F">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miembro del equipo se encargó de clasificar 364 imágenes, lo que </w:t>
      </w:r>
      <w:r w:rsidDel="00000000" w:rsidR="00000000" w:rsidRPr="00000000">
        <w:rPr>
          <w:rFonts w:ascii="Open Sans" w:cs="Open Sans" w:eastAsia="Open Sans" w:hAnsi="Open Sans"/>
          <w:rtl w:val="0"/>
        </w:rPr>
        <w:t xml:space="preserve">garantizó</w:t>
      </w:r>
      <w:r w:rsidDel="00000000" w:rsidR="00000000" w:rsidRPr="00000000">
        <w:rPr>
          <w:rFonts w:ascii="Open Sans" w:cs="Open Sans" w:eastAsia="Open Sans" w:hAnsi="Open Sans"/>
          <w:rtl w:val="0"/>
        </w:rPr>
        <w:t xml:space="preserve"> una cobertura completa del conjunto de datos seleccionado. Durante esta fase, no se presentaron problemas significativos para obtener o procesar los datos, lo que facilitó la preparación inicial del proyecto.</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ecmx-my.sharepoint.com/:f:/r/personal/ivo_ayala_tec_mx/Documents/Semestres/24/24_AD/Socio_Formador_ITC/Cow_Behaviour/Pictures/Bed?csf=1&amp;web=1&amp;e=pefF1jhttps://tecmx-my.sharepoint.com/:f:/r/personal/ivo_ayala_tec_mx/Documents/Semestres/24/24_AD/Socio_Formador_ITC/Cow_Behaviour/Pictures/Bed?csf=1&amp;web=1&amp;e=pefF1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