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8.00000000000006" w:lineRule="auto"/>
        <w:jc w:val="center"/>
        <w:rPr>
          <w:rFonts w:ascii="Aptos" w:cs="Aptos" w:eastAsia="Aptos" w:hAnsi="Aptos"/>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1462088</wp:posOffset>
            </wp:positionH>
            <wp:positionV relativeFrom="paragraph">
              <wp:posOffset>447675</wp:posOffset>
            </wp:positionV>
            <wp:extent cx="3018234" cy="8048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18234" cy="804863"/>
                    </a:xfrm>
                    <a:prstGeom prst="rect"/>
                    <a:ln/>
                  </pic:spPr>
                </pic:pic>
              </a:graphicData>
            </a:graphic>
          </wp:anchor>
        </w:drawing>
      </w:r>
    </w:p>
    <w:p w:rsidR="00000000" w:rsidDel="00000000" w:rsidP="00000000" w:rsidRDefault="00000000" w:rsidRPr="00000000" w14:paraId="00000002">
      <w:pPr>
        <w:spacing w:after="160" w:line="278.00000000000006" w:lineRule="auto"/>
        <w:jc w:val="center"/>
        <w:rPr>
          <w:rFonts w:ascii="Aptos" w:cs="Aptos" w:eastAsia="Aptos" w:hAnsi="Aptos"/>
          <w:b w:val="1"/>
          <w:sz w:val="36"/>
          <w:szCs w:val="36"/>
        </w:rPr>
      </w:pPr>
      <w:r w:rsidDel="00000000" w:rsidR="00000000" w:rsidRPr="00000000">
        <w:rPr>
          <w:rtl w:val="0"/>
        </w:rPr>
      </w:r>
    </w:p>
    <w:p w:rsidR="00000000" w:rsidDel="00000000" w:rsidP="00000000" w:rsidRDefault="00000000" w:rsidRPr="00000000" w14:paraId="00000003">
      <w:pPr>
        <w:spacing w:after="160" w:line="278.00000000000006" w:lineRule="auto"/>
        <w:jc w:val="center"/>
        <w:rPr>
          <w:rFonts w:ascii="Aptos" w:cs="Aptos" w:eastAsia="Aptos" w:hAnsi="Aptos"/>
          <w:b w:val="1"/>
          <w:sz w:val="36"/>
          <w:szCs w:val="36"/>
        </w:rPr>
      </w:pPr>
      <w:r w:rsidDel="00000000" w:rsidR="00000000" w:rsidRPr="00000000">
        <w:rPr>
          <w:rtl w:val="0"/>
        </w:rPr>
      </w:r>
    </w:p>
    <w:p w:rsidR="00000000" w:rsidDel="00000000" w:rsidP="00000000" w:rsidRDefault="00000000" w:rsidRPr="00000000" w14:paraId="00000004">
      <w:pPr>
        <w:spacing w:after="160" w:line="278.00000000000006" w:lineRule="auto"/>
        <w:rPr>
          <w:rFonts w:ascii="Aptos" w:cs="Aptos" w:eastAsia="Aptos" w:hAnsi="Aptos"/>
          <w:b w:val="1"/>
          <w:sz w:val="36"/>
          <w:szCs w:val="36"/>
        </w:rPr>
      </w:pPr>
      <w:r w:rsidDel="00000000" w:rsidR="00000000" w:rsidRPr="00000000">
        <w:rPr>
          <w:rtl w:val="0"/>
        </w:rPr>
      </w:r>
    </w:p>
    <w:p w:rsidR="00000000" w:rsidDel="00000000" w:rsidP="00000000" w:rsidRDefault="00000000" w:rsidRPr="00000000" w14:paraId="00000005">
      <w:pPr>
        <w:spacing w:after="160" w:line="278.00000000000006" w:lineRule="auto"/>
        <w:rPr>
          <w:rFonts w:ascii="Aptos" w:cs="Aptos" w:eastAsia="Aptos" w:hAnsi="Aptos"/>
          <w:b w:val="1"/>
          <w:sz w:val="36"/>
          <w:szCs w:val="36"/>
        </w:rPr>
      </w:pPr>
      <w:r w:rsidDel="00000000" w:rsidR="00000000" w:rsidRPr="00000000">
        <w:rPr>
          <w:rtl w:val="0"/>
        </w:rPr>
      </w:r>
    </w:p>
    <w:p w:rsidR="00000000" w:rsidDel="00000000" w:rsidP="00000000" w:rsidRDefault="00000000" w:rsidRPr="00000000" w14:paraId="00000006">
      <w:pPr>
        <w:spacing w:after="160" w:line="278.00000000000006" w:lineRule="auto"/>
        <w:jc w:val="center"/>
        <w:rPr>
          <w:rFonts w:ascii="Aptos" w:cs="Aptos" w:eastAsia="Aptos" w:hAnsi="Aptos"/>
          <w:sz w:val="26"/>
          <w:szCs w:val="26"/>
        </w:rPr>
      </w:pPr>
      <w:r w:rsidDel="00000000" w:rsidR="00000000" w:rsidRPr="00000000">
        <w:rPr>
          <w:rFonts w:ascii="Lato" w:cs="Lato" w:eastAsia="Lato" w:hAnsi="Lato"/>
          <w:color w:val="4a86e8"/>
          <w:sz w:val="26"/>
          <w:szCs w:val="26"/>
          <w:rtl w:val="0"/>
        </w:rPr>
        <w:t xml:space="preserve">Instituto Tecnológico y de Estudios Superiores de Monterrey</w:t>
      </w:r>
      <w:r w:rsidDel="00000000" w:rsidR="00000000" w:rsidRPr="00000000">
        <w:rPr>
          <w:rtl w:val="0"/>
        </w:rPr>
      </w:r>
    </w:p>
    <w:p w:rsidR="00000000" w:rsidDel="00000000" w:rsidP="00000000" w:rsidRDefault="00000000" w:rsidRPr="00000000" w14:paraId="00000007">
      <w:pPr>
        <w:spacing w:after="160" w:line="278.00000000000006"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Campus Querétaro</w:t>
      </w:r>
    </w:p>
    <w:p w:rsidR="00000000" w:rsidDel="00000000" w:rsidP="00000000" w:rsidRDefault="00000000" w:rsidRPr="00000000" w14:paraId="00000008">
      <w:pPr>
        <w:spacing w:after="160" w:line="278.00000000000006" w:lineRule="auto"/>
        <w:jc w:val="center"/>
        <w:rPr>
          <w:rFonts w:ascii="Aptos" w:cs="Aptos" w:eastAsia="Aptos" w:hAnsi="Aptos"/>
          <w:sz w:val="24"/>
          <w:szCs w:val="24"/>
        </w:rPr>
      </w:pPr>
      <w:r w:rsidDel="00000000" w:rsidR="00000000" w:rsidRPr="00000000">
        <w:rPr>
          <w:rtl w:val="0"/>
        </w:rPr>
      </w:r>
    </w:p>
    <w:p w:rsidR="00000000" w:rsidDel="00000000" w:rsidP="00000000" w:rsidRDefault="00000000" w:rsidRPr="00000000" w14:paraId="00000009">
      <w:pPr>
        <w:spacing w:after="160" w:line="278.00000000000006" w:lineRule="auto"/>
        <w:jc w:val="center"/>
        <w:rPr>
          <w:rFonts w:ascii="Aptos" w:cs="Aptos" w:eastAsia="Aptos" w:hAnsi="Aptos"/>
          <w:b w:val="1"/>
          <w:sz w:val="36"/>
          <w:szCs w:val="36"/>
        </w:rPr>
      </w:pPr>
      <w:r w:rsidDel="00000000" w:rsidR="00000000" w:rsidRPr="00000000">
        <w:rPr>
          <w:rFonts w:ascii="Aptos" w:cs="Aptos" w:eastAsia="Aptos" w:hAnsi="Aptos"/>
          <w:b w:val="1"/>
          <w:sz w:val="36"/>
          <w:szCs w:val="36"/>
          <w:rtl w:val="0"/>
        </w:rPr>
        <w:t xml:space="preserve">Fase de Entendimiento de Negocio</w:t>
      </w:r>
    </w:p>
    <w:p w:rsidR="00000000" w:rsidDel="00000000" w:rsidP="00000000" w:rsidRDefault="00000000" w:rsidRPr="00000000" w14:paraId="0000000A">
      <w:pPr>
        <w:spacing w:after="160" w:line="278.00000000000006" w:lineRule="auto"/>
        <w:jc w:val="center"/>
        <w:rPr>
          <w:rFonts w:ascii="Aptos" w:cs="Aptos" w:eastAsia="Aptos" w:hAnsi="Aptos"/>
          <w:sz w:val="34"/>
          <w:szCs w:val="34"/>
        </w:rPr>
      </w:pPr>
      <w:r w:rsidDel="00000000" w:rsidR="00000000" w:rsidRPr="00000000">
        <w:rPr>
          <w:rFonts w:ascii="Aptos" w:cs="Aptos" w:eastAsia="Aptos" w:hAnsi="Aptos"/>
          <w:sz w:val="34"/>
          <w:szCs w:val="34"/>
          <w:rtl w:val="0"/>
        </w:rPr>
        <w:t xml:space="preserve">Reporte de Descripción de los Datos</w:t>
      </w:r>
    </w:p>
    <w:p w:rsidR="00000000" w:rsidDel="00000000" w:rsidP="00000000" w:rsidRDefault="00000000" w:rsidRPr="00000000" w14:paraId="0000000B">
      <w:pPr>
        <w:spacing w:after="160" w:line="278.00000000000006" w:lineRule="auto"/>
        <w:jc w:val="center"/>
        <w:rPr>
          <w:rFonts w:ascii="Aptos" w:cs="Aptos" w:eastAsia="Aptos" w:hAnsi="Aptos"/>
          <w:b w:val="1"/>
          <w:sz w:val="26"/>
          <w:szCs w:val="26"/>
        </w:rPr>
      </w:pPr>
      <w:r w:rsidDel="00000000" w:rsidR="00000000" w:rsidRPr="00000000">
        <w:rPr>
          <w:rtl w:val="0"/>
        </w:rPr>
      </w:r>
    </w:p>
    <w:p w:rsidR="00000000" w:rsidDel="00000000" w:rsidP="00000000" w:rsidRDefault="00000000" w:rsidRPr="00000000" w14:paraId="0000000C">
      <w:pPr>
        <w:spacing w:after="160" w:line="278.00000000000006" w:lineRule="auto"/>
        <w:jc w:val="center"/>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Autores:</w:t>
      </w:r>
    </w:p>
    <w:p w:rsidR="00000000" w:rsidDel="00000000" w:rsidP="00000000" w:rsidRDefault="00000000" w:rsidRPr="00000000" w14:paraId="0000000D">
      <w:pPr>
        <w:spacing w:after="160" w:line="278.00000000000006"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A01368818 Joel Sánchez Olvera</w:t>
      </w:r>
    </w:p>
    <w:p w:rsidR="00000000" w:rsidDel="00000000" w:rsidP="00000000" w:rsidRDefault="00000000" w:rsidRPr="00000000" w14:paraId="0000000E">
      <w:pPr>
        <w:spacing w:after="160" w:line="278.00000000000006"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A01661090 Juan Pablo Cabrera Quiroga</w:t>
      </w:r>
    </w:p>
    <w:p w:rsidR="00000000" w:rsidDel="00000000" w:rsidP="00000000" w:rsidRDefault="00000000" w:rsidRPr="00000000" w14:paraId="0000000F">
      <w:pPr>
        <w:spacing w:after="160" w:line="278.00000000000006"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A01704076 Adrián Galván Díaz</w:t>
      </w:r>
    </w:p>
    <w:p w:rsidR="00000000" w:rsidDel="00000000" w:rsidP="00000000" w:rsidRDefault="00000000" w:rsidRPr="00000000" w14:paraId="00000010">
      <w:pPr>
        <w:spacing w:after="160" w:line="278.00000000000006"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A01708634 Carlos Eduardo Velasco Elenes</w:t>
      </w:r>
    </w:p>
    <w:p w:rsidR="00000000" w:rsidDel="00000000" w:rsidP="00000000" w:rsidRDefault="00000000" w:rsidRPr="00000000" w14:paraId="00000011">
      <w:pPr>
        <w:spacing w:after="160" w:line="278.00000000000006"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A01709522 Arturo Cristián Díaz López</w:t>
      </w:r>
    </w:p>
    <w:p w:rsidR="00000000" w:rsidDel="00000000" w:rsidP="00000000" w:rsidRDefault="00000000" w:rsidRPr="00000000" w14:paraId="00000012">
      <w:pPr>
        <w:spacing w:after="160" w:line="278.00000000000006" w:lineRule="auto"/>
        <w:jc w:val="center"/>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3">
      <w:pPr>
        <w:spacing w:after="160" w:line="278.00000000000006" w:lineRule="auto"/>
        <w:jc w:val="center"/>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4">
      <w:pPr>
        <w:spacing w:line="278.00000000000006" w:lineRule="auto"/>
        <w:jc w:val="center"/>
        <w:rPr>
          <w:rFonts w:ascii="Aptos" w:cs="Aptos" w:eastAsia="Aptos" w:hAnsi="Aptos"/>
          <w:color w:val="4a86e8"/>
          <w:sz w:val="26"/>
          <w:szCs w:val="26"/>
        </w:rPr>
      </w:pPr>
      <w:r w:rsidDel="00000000" w:rsidR="00000000" w:rsidRPr="00000000">
        <w:rPr>
          <w:rFonts w:ascii="Lato" w:cs="Lato" w:eastAsia="Lato" w:hAnsi="Lato"/>
          <w:color w:val="4a86e8"/>
          <w:sz w:val="26"/>
          <w:szCs w:val="26"/>
          <w:rtl w:val="0"/>
        </w:rPr>
        <w:t xml:space="preserve">TC3007C.501</w:t>
      </w:r>
      <w:r w:rsidDel="00000000" w:rsidR="00000000" w:rsidRPr="00000000">
        <w:rPr>
          <w:rtl w:val="0"/>
        </w:rPr>
      </w:r>
    </w:p>
    <w:p w:rsidR="00000000" w:rsidDel="00000000" w:rsidP="00000000" w:rsidRDefault="00000000" w:rsidRPr="00000000" w14:paraId="00000015">
      <w:pPr>
        <w:spacing w:after="160" w:line="278.00000000000006"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Inteligencia artificial avanzada para la ciencia de datos II</w:t>
      </w:r>
    </w:p>
    <w:p w:rsidR="00000000" w:rsidDel="00000000" w:rsidP="00000000" w:rsidRDefault="00000000" w:rsidRPr="00000000" w14:paraId="00000016">
      <w:pPr>
        <w:spacing w:after="160" w:line="278.00000000000006" w:lineRule="auto"/>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7">
      <w:pPr>
        <w:spacing w:after="160" w:line="278.00000000000006" w:lineRule="auto"/>
        <w:jc w:val="center"/>
        <w:rPr>
          <w:rFonts w:ascii="Aptos" w:cs="Aptos" w:eastAsia="Aptos" w:hAnsi="Aptos"/>
          <w:sz w:val="26"/>
          <w:szCs w:val="26"/>
        </w:rPr>
      </w:pPr>
      <w:r w:rsidDel="00000000" w:rsidR="00000000" w:rsidRPr="00000000">
        <w:rPr>
          <w:rFonts w:ascii="Lato" w:cs="Lato" w:eastAsia="Lato" w:hAnsi="Lato"/>
          <w:color w:val="4a86e8"/>
          <w:sz w:val="26"/>
          <w:szCs w:val="26"/>
          <w:rtl w:val="0"/>
        </w:rPr>
        <w:t xml:space="preserve">Fecha:</w:t>
      </w:r>
      <w:r w:rsidDel="00000000" w:rsidR="00000000" w:rsidRPr="00000000">
        <w:rPr>
          <w:rtl w:val="0"/>
        </w:rPr>
      </w:r>
    </w:p>
    <w:p w:rsidR="00000000" w:rsidDel="00000000" w:rsidP="00000000" w:rsidRDefault="00000000" w:rsidRPr="00000000" w14:paraId="00000018">
      <w:pPr>
        <w:jc w:val="center"/>
        <w:rPr>
          <w:rFonts w:ascii="Open Sans" w:cs="Open Sans" w:eastAsia="Open Sans" w:hAnsi="Open Sans"/>
          <w:b w:val="1"/>
          <w:color w:val="000000"/>
        </w:rPr>
      </w:pPr>
      <w:r w:rsidDel="00000000" w:rsidR="00000000" w:rsidRPr="00000000">
        <w:rPr>
          <w:rFonts w:ascii="Aptos" w:cs="Aptos" w:eastAsia="Aptos" w:hAnsi="Aptos"/>
          <w:sz w:val="24"/>
          <w:szCs w:val="24"/>
          <w:rtl w:val="0"/>
        </w:rPr>
        <w:t xml:space="preserve">9 de Octubre del 2024</w: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jc w:val="center"/>
        <w:rPr>
          <w:rFonts w:ascii="Open Sans" w:cs="Open Sans" w:eastAsia="Open Sans" w:hAnsi="Open Sans"/>
          <w:b w:val="1"/>
          <w:color w:val="000000"/>
        </w:rPr>
      </w:pPr>
      <w:bookmarkStart w:colFirst="0" w:colLast="0" w:name="_gi6c6q73y69p" w:id="0"/>
      <w:bookmarkEnd w:id="0"/>
      <w:r w:rsidDel="00000000" w:rsidR="00000000" w:rsidRPr="00000000">
        <w:rPr>
          <w:rFonts w:ascii="Open Sans" w:cs="Open Sans" w:eastAsia="Open Sans" w:hAnsi="Open Sans"/>
          <w:b w:val="1"/>
          <w:color w:val="000000"/>
          <w:rtl w:val="0"/>
        </w:rPr>
        <w:t xml:space="preserve">Reporte de descripción de los datos</w:t>
      </w:r>
    </w:p>
    <w:p w:rsidR="00000000" w:rsidDel="00000000" w:rsidP="00000000" w:rsidRDefault="00000000" w:rsidRPr="00000000" w14:paraId="0000001A">
      <w:pPr>
        <w:pStyle w:val="Heading3"/>
        <w:keepNext w:val="0"/>
        <w:keepLines w:val="0"/>
        <w:spacing w:before="280" w:lineRule="auto"/>
        <w:jc w:val="both"/>
        <w:rPr>
          <w:rFonts w:ascii="Open Sans" w:cs="Open Sans" w:eastAsia="Open Sans" w:hAnsi="Open Sans"/>
          <w:b w:val="1"/>
          <w:color w:val="000000"/>
          <w:sz w:val="26"/>
          <w:szCs w:val="26"/>
        </w:rPr>
      </w:pPr>
      <w:bookmarkStart w:colFirst="0" w:colLast="0" w:name="_k81xeyl0y2dc" w:id="1"/>
      <w:bookmarkEnd w:id="1"/>
      <w:r w:rsidDel="00000000" w:rsidR="00000000" w:rsidRPr="00000000">
        <w:rPr>
          <w:rFonts w:ascii="Open Sans" w:cs="Open Sans" w:eastAsia="Open Sans" w:hAnsi="Open Sans"/>
          <w:b w:val="1"/>
          <w:color w:val="000000"/>
          <w:sz w:val="26"/>
          <w:szCs w:val="26"/>
          <w:rtl w:val="0"/>
        </w:rPr>
        <w:t xml:space="preserve">Observaciones y Formato de los Datos</w:t>
      </w:r>
    </w:p>
    <w:p w:rsidR="00000000" w:rsidDel="00000000" w:rsidP="00000000" w:rsidRDefault="00000000" w:rsidRPr="00000000" w14:paraId="0000001B">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Durante la fase de clasificación de las imágenes, se trabajó con un conjunto de datos compuesto por 9634 imágenes en formato JPG, con un tamaño promedio de entre 600 y 650 KB y una resolución de 1920x1080 píxeles. De estas, se seleccionaron aleatoriamente 4004 imágenes para el análisis. Estas imágenes fueron divididas entre los miembros del equipo, y cada uno clasificó 364 imágenes.</w:t>
      </w:r>
    </w:p>
    <w:p w:rsidR="00000000" w:rsidDel="00000000" w:rsidP="00000000" w:rsidRDefault="00000000" w:rsidRPr="00000000" w14:paraId="0000001C">
      <w:pPr>
        <w:pStyle w:val="Heading3"/>
        <w:keepNext w:val="0"/>
        <w:keepLines w:val="0"/>
        <w:spacing w:before="280" w:lineRule="auto"/>
        <w:jc w:val="both"/>
        <w:rPr>
          <w:rFonts w:ascii="Open Sans" w:cs="Open Sans" w:eastAsia="Open Sans" w:hAnsi="Open Sans"/>
          <w:b w:val="1"/>
          <w:color w:val="000000"/>
          <w:sz w:val="26"/>
          <w:szCs w:val="26"/>
        </w:rPr>
      </w:pPr>
      <w:bookmarkStart w:colFirst="0" w:colLast="0" w:name="_tqtk4s5ktur5" w:id="2"/>
      <w:bookmarkEnd w:id="2"/>
      <w:r w:rsidDel="00000000" w:rsidR="00000000" w:rsidRPr="00000000">
        <w:rPr>
          <w:rFonts w:ascii="Open Sans" w:cs="Open Sans" w:eastAsia="Open Sans" w:hAnsi="Open Sans"/>
          <w:b w:val="1"/>
          <w:color w:val="000000"/>
          <w:sz w:val="26"/>
          <w:szCs w:val="26"/>
          <w:rtl w:val="0"/>
        </w:rPr>
        <w:t xml:space="preserve">Observaciones sobre la Distribución de los Datos</w:t>
      </w:r>
    </w:p>
    <w:p w:rsidR="00000000" w:rsidDel="00000000" w:rsidP="00000000" w:rsidRDefault="00000000" w:rsidRPr="00000000" w14:paraId="0000001D">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Al analizar las imágenes, el equipo observó que había una notable prevalencia de imágenes con camas vacías, en comparación con las imágenes que mostraban vacas paradas o acostadas. Esto es un aspecto importante, ya que indica que el comportamiento de las vacas al utilizar las camas es menor de lo esperado, o que los datos no capturaron suficiente actividad. Este desequilibrio en las clases deberá ser considerado al momento de entrenar los modelos de machine learning, para evitar un sesgo hacia la clase mayoritaria.</w:t>
      </w:r>
    </w:p>
    <w:p w:rsidR="00000000" w:rsidDel="00000000" w:rsidP="00000000" w:rsidRDefault="00000000" w:rsidRPr="00000000" w14:paraId="0000001E">
      <w:pPr>
        <w:spacing w:after="240" w:before="240" w:lineRule="auto"/>
        <w:jc w:val="both"/>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