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1" w:lineRule="exact"/>
      </w:pPr>
      <w:r/>
    </w:p>
    <w:p>
      <w:pPr>
        <w:pStyle w:val="Style4"/>
        <w:keepNext w:val="0"/>
        <w:keepLines w:val="0"/>
        <w:framePr w:w="2875" w:h="780" w:hRule="exact" w:wrap="none" w:vAnchor="page" w:hAnchor="page" w:x="8596" w:y="1066"/>
        <w:widowControl w:val="0"/>
        <w:shd w:val="clear" w:color="auto" w:fill="auto"/>
        <w:spacing w:before="0" w:after="0" w:line="240" w:lineRule="auto"/>
        <w:ind w:left="0" w:right="0" w:firstLine="0"/>
        <w:jc w:val="left"/>
      </w:pPr>
      <w:bookmarkStart w:id="0" w:name="bookmark0"/>
      <w:r>
        <w:rPr>
          <w:rStyle w:val="CharStyle5"/>
          <w:rtl/>
        </w:rPr>
        <w:t>للهلكالعنيتإلتنعونة:</w:t>
      </w:r>
      <w:bookmarkEnd w:id="0"/>
    </w:p>
    <w:p>
      <w:pPr>
        <w:pStyle w:val="Style6"/>
        <w:keepNext w:val="0"/>
        <w:keepLines w:val="0"/>
        <w:framePr w:w="316" w:h="289" w:hRule="exact" w:wrap="none" w:vAnchor="page" w:hAnchor="page" w:x="9843" w:y="1850"/>
        <w:widowControl w:val="0"/>
        <w:shd w:val="clear" w:color="auto" w:fill="auto"/>
        <w:spacing w:before="0" w:after="0" w:line="240" w:lineRule="auto"/>
        <w:ind w:left="14" w:right="14" w:firstLine="0"/>
        <w:jc w:val="center"/>
        <w:rPr>
          <w:sz w:val="24"/>
          <w:szCs w:val="24"/>
        </w:rPr>
      </w:pPr>
      <w:r>
        <w:rPr>
          <w:rStyle w:val="CharStyle7"/>
          <w:sz w:val="24"/>
          <w:szCs w:val="24"/>
          <w:rtl/>
        </w:rPr>
        <w:t>لاس</w:t>
      </w:r>
    </w:p>
    <w:p>
      <w:pPr>
        <w:pStyle w:val="Style4"/>
        <w:keepNext w:val="0"/>
        <w:keepLines w:val="0"/>
        <w:framePr w:w="2761" w:h="683" w:hRule="exact" w:wrap="none" w:vAnchor="page" w:hAnchor="page" w:x="8591" w:y="1850"/>
        <w:widowControl w:val="0"/>
        <w:shd w:val="clear" w:color="auto" w:fill="auto"/>
        <w:spacing w:before="0" w:after="0" w:line="240" w:lineRule="auto"/>
        <w:ind w:left="41" w:right="0" w:firstLine="0"/>
        <w:jc w:val="left"/>
      </w:pPr>
      <w:bookmarkStart w:id="2" w:name="bookmark2"/>
      <w:r>
        <w:rPr>
          <w:rStyle w:val="CharStyle5"/>
          <w:rtl/>
        </w:rPr>
        <w:t>قانتالعاتلمجارلوزراغ</w:t>
      </w:r>
      <w:bookmarkEnd w:id="2"/>
    </w:p>
    <w:p>
      <w:pPr>
        <w:framePr w:wrap="none" w:vAnchor="page" w:hAnchor="page" w:x="5642" w:y="1199"/>
        <w:widowControl w:val="0"/>
        <w:rPr>
          <w:sz w:val="2"/>
          <w:szCs w:val="2"/>
        </w:rPr>
      </w:pPr>
      <w:r>
        <w:drawing>
          <wp:inline>
            <wp:extent cx="704850" cy="838835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704850" cy="838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9"/>
        <w:keepNext w:val="0"/>
        <w:keepLines w:val="0"/>
        <w:framePr w:w="2752" w:h="917" w:hRule="exact" w:wrap="none" w:vAnchor="page" w:hAnchor="page" w:x="1524" w:y="1204"/>
        <w:widowControl w:val="0"/>
        <w:shd w:val="clear" w:color="auto" w:fill="auto"/>
        <w:spacing w:before="0" w:after="160" w:line="240" w:lineRule="auto"/>
        <w:ind w:left="0" w:right="0" w:firstLine="0"/>
        <w:jc w:val="left"/>
      </w:pPr>
      <w:r>
        <w:rPr>
          <w:rStyle w:val="CharStyle10"/>
          <w:rtl/>
        </w:rPr>
        <w:t>قرار رقم: (٢٢٩)</w:t>
      </w:r>
    </w:p>
    <w:p>
      <w:pPr>
        <w:pStyle w:val="Style9"/>
        <w:keepNext w:val="0"/>
        <w:keepLines w:val="0"/>
        <w:framePr w:w="2752" w:h="917" w:hRule="exact" w:wrap="none" w:vAnchor="page" w:hAnchor="page" w:x="1524" w:y="1204"/>
        <w:widowControl w:val="0"/>
        <w:shd w:val="clear" w:color="auto" w:fill="auto"/>
        <w:spacing w:before="0" w:after="0" w:line="240" w:lineRule="auto"/>
        <w:ind w:left="0" w:right="0" w:firstLine="0"/>
        <w:jc w:val="left"/>
      </w:pPr>
      <w:r>
        <w:rPr>
          <w:rStyle w:val="CharStyle10"/>
          <w:rtl/>
        </w:rPr>
        <w:t>وتاريخ: ١٤٤٧/٣/٢٤ه</w:t>
      </w:r>
    </w:p>
    <w:p>
      <w:pPr>
        <w:pStyle w:val="Style4"/>
        <w:keepNext w:val="0"/>
        <w:keepLines w:val="0"/>
        <w:framePr w:w="10415" w:h="9901" w:hRule="exact" w:wrap="none" w:vAnchor="page" w:hAnchor="page" w:x="1093" w:y="2538"/>
        <w:widowControl w:val="0"/>
        <w:shd w:val="clear" w:color="auto" w:fill="auto"/>
        <w:spacing w:before="0" w:after="100" w:line="240" w:lineRule="auto"/>
        <w:ind w:left="0" w:right="0" w:firstLine="0"/>
        <w:jc w:val="both"/>
      </w:pPr>
      <w:bookmarkStart w:id="4" w:name="bookmark4"/>
      <w:r>
        <w:rPr>
          <w:rStyle w:val="CharStyle5"/>
          <w:rtl/>
        </w:rPr>
        <w:t>فرانيملاوز</w:t>
      </w:r>
      <w:bookmarkEnd w:id="4"/>
    </w:p>
    <w:p>
      <w:pPr>
        <w:pStyle w:val="Style9"/>
        <w:keepNext w:val="0"/>
        <w:keepLines w:val="0"/>
        <w:framePr w:w="10415" w:h="9901" w:hRule="exact" w:wrap="none" w:vAnchor="page" w:hAnchor="page" w:x="1093" w:y="2538"/>
        <w:widowControl w:val="0"/>
        <w:shd w:val="clear" w:color="auto" w:fill="auto"/>
        <w:spacing w:before="0" w:line="240" w:lineRule="auto"/>
        <w:ind w:left="0" w:right="0" w:firstLine="0"/>
        <w:jc w:val="both"/>
        <w:rPr>
          <w:sz w:val="30"/>
          <w:szCs w:val="30"/>
        </w:rPr>
      </w:pPr>
      <w:r>
        <w:rPr>
          <w:rStyle w:val="CharStyle10"/>
          <w:sz w:val="30"/>
          <w:szCs w:val="30"/>
          <w:rtl/>
        </w:rPr>
        <w:t>إن مجلس الوزراء</w:t>
      </w:r>
    </w:p>
    <w:p>
      <w:pPr>
        <w:pStyle w:val="Style12"/>
        <w:keepNext w:val="0"/>
        <w:keepLines w:val="0"/>
        <w:framePr w:w="10415" w:h="9901" w:hRule="exact" w:wrap="none" w:vAnchor="page" w:hAnchor="page" w:x="1093" w:y="2538"/>
        <w:widowControl w:val="0"/>
        <w:shd w:val="clear" w:color="auto" w:fill="auto"/>
        <w:spacing w:before="0" w:after="0" w:line="334" w:lineRule="auto"/>
        <w:ind w:left="0" w:right="0" w:firstLine="760"/>
        <w:jc w:val="both"/>
      </w:pPr>
      <w:r>
        <w:rPr>
          <w:rStyle w:val="CharStyle13"/>
          <w:rtl/>
        </w:rPr>
        <w:t xml:space="preserve">بعد الاطلاع على المعاملة الواردة من الديوان الملكي برقم ٧٢٤٦٤ وتاريخ </w:t>
      </w:r>
      <w:r>
        <w:rPr>
          <w:rStyle w:val="CharStyle13"/>
          <w:rtl/>
          <w:lang w:val="en-US" w:eastAsia="en-US" w:bidi="en-US"/>
        </w:rPr>
        <w:t>١،٤٥/١</w:t>
      </w:r>
      <w:r>
        <w:rPr>
          <w:rStyle w:val="CharStyle13"/>
          <w:rtl/>
        </w:rPr>
        <w:t>٠/٧*، المشتملة على برقية معالي وزير الموارد البشرية والتنمية الاجتماعية رقم ١٣٦٣١٩ وتاريخ ١٤٤٥/٩/٢٩ه، في هأن طلب معاليه إضافة صلاحية تحديد المقابل المالي لعمل المرافقين في القطاع الخاص إلى الصلاحيات الممنوحة لمعاليه بموجب قرار مجلس الونراء رقم (٥٨٥) وتاريخ ١٤٤٤/٨/٢٢م.</w:t>
      </w:r>
    </w:p>
    <w:p>
      <w:pPr>
        <w:pStyle w:val="Style12"/>
        <w:keepNext w:val="0"/>
        <w:keepLines w:val="0"/>
        <w:framePr w:w="10415" w:h="9901" w:hRule="exact" w:wrap="none" w:vAnchor="page" w:hAnchor="page" w:x="1093" w:y="2538"/>
        <w:widowControl w:val="0"/>
        <w:shd w:val="clear" w:color="auto" w:fill="auto"/>
        <w:spacing w:before="0" w:after="0" w:line="334" w:lineRule="auto"/>
        <w:ind w:left="0" w:right="0" w:firstLine="740"/>
        <w:jc w:val="both"/>
      </w:pPr>
      <w:r>
        <w:rPr>
          <w:rStyle w:val="CharStyle13"/>
          <w:rtl/>
        </w:rPr>
        <w:t>ويعد الاطلاع على المرسوم الملكي رقم (م/٨) وتاريخ ١٤١٥/٧/٢٥م.</w:t>
      </w:r>
    </w:p>
    <w:p>
      <w:pPr>
        <w:pStyle w:val="Style12"/>
        <w:keepNext w:val="0"/>
        <w:keepLines w:val="0"/>
        <w:framePr w:w="10415" w:h="9901" w:hRule="exact" w:wrap="none" w:vAnchor="page" w:hAnchor="page" w:x="1093" w:y="2538"/>
        <w:widowControl w:val="0"/>
        <w:shd w:val="clear" w:color="auto" w:fill="auto"/>
        <w:spacing w:before="0" w:line="298" w:lineRule="auto"/>
        <w:ind w:left="0" w:right="0" w:firstLine="760"/>
        <w:jc w:val="both"/>
      </w:pPr>
      <w:r>
        <w:rPr>
          <w:rStyle w:val="CharStyle13"/>
          <w:rtl/>
        </w:rPr>
        <w:t>ويعد الاطلاع على قراري مجلس الونراء رقم (٩٦) وتاريخ ٤١٥/٧/٢٤ ١ه، رقم (٥٨٥) وتاريخ ٤/٨/٢٢ ٤ ١٤ ه.</w:t>
      </w:r>
    </w:p>
    <w:p>
      <w:pPr>
        <w:pStyle w:val="Style12"/>
        <w:keepNext w:val="0"/>
        <w:keepLines w:val="0"/>
        <w:framePr w:w="10415" w:h="9901" w:hRule="exact" w:wrap="none" w:vAnchor="page" w:hAnchor="page" w:x="1093" w:y="2538"/>
        <w:widowControl w:val="0"/>
        <w:shd w:val="clear" w:color="auto" w:fill="auto"/>
        <w:spacing w:before="0" w:after="220" w:line="346" w:lineRule="auto"/>
        <w:ind w:left="0" w:right="0" w:firstLine="740"/>
        <w:jc w:val="both"/>
      </w:pPr>
      <w:r>
        <w:rPr>
          <w:rStyle w:val="CharStyle13"/>
          <w:rtl/>
        </w:rPr>
        <w:t>ويعد الاطلاع على الامر السامي رقم (٣٦٥٦٨) وتاريخ ١٤٣٧/٧/٢٧م.</w:t>
      </w:r>
    </w:p>
    <w:p>
      <w:pPr>
        <w:pStyle w:val="Style12"/>
        <w:keepNext w:val="0"/>
        <w:keepLines w:val="0"/>
        <w:framePr w:w="10415" w:h="9901" w:hRule="exact" w:wrap="none" w:vAnchor="page" w:hAnchor="page" w:x="1093" w:y="2538"/>
        <w:widowControl w:val="0"/>
        <w:shd w:val="clear" w:color="auto" w:fill="auto"/>
        <w:spacing w:before="0" w:after="0" w:line="346" w:lineRule="auto"/>
        <w:ind w:left="0" w:right="0" w:firstLine="760"/>
        <w:jc w:val="both"/>
      </w:pPr>
      <w:r>
        <w:rPr>
          <w:rStyle w:val="CharStyle13"/>
          <w:rtl/>
        </w:rPr>
        <w:t>ويعد الاطلاع على المذكرات رقم (٦٩٥) وتاربخ ٤٦/٢/٢٥ ١٤ه، ورتم (٣٠٧٥) وتاريخ ١٤٤٦/٩/٩ه، ورقم (٤٥٠) وتاريخ ٤٧/١/٣٠ ،١ه، المعدة في هيئة الخبراء بمجلس الوزراء.</w:t>
      </w:r>
    </w:p>
    <w:p>
      <w:pPr>
        <w:pStyle w:val="Style12"/>
        <w:keepNext w:val="0"/>
        <w:keepLines w:val="0"/>
        <w:framePr w:w="10415" w:h="9901" w:hRule="exact" w:wrap="none" w:vAnchor="page" w:hAnchor="page" w:x="1093" w:y="2538"/>
        <w:widowControl w:val="0"/>
        <w:shd w:val="clear" w:color="auto" w:fill="auto"/>
        <w:spacing w:before="0" w:line="314" w:lineRule="auto"/>
        <w:ind w:left="0" w:right="0" w:firstLine="760"/>
        <w:jc w:val="both"/>
      </w:pPr>
      <w:r>
        <w:rPr>
          <w:rStyle w:val="CharStyle13"/>
          <w:rtl/>
        </w:rPr>
        <w:t>ويعد الاطلاع على توصية مجلس الشؤعن الاقتصادية والتنمية رقم (٢-٤٦/١٣/ت) وتاريخ ١٤٤٦/١١/١٧ه.</w:t>
      </w:r>
    </w:p>
    <w:p>
      <w:pPr>
        <w:pStyle w:val="Style12"/>
        <w:keepNext w:val="0"/>
        <w:keepLines w:val="0"/>
        <w:framePr w:w="10415" w:h="9901" w:hRule="exact" w:wrap="none" w:vAnchor="page" w:hAnchor="page" w:x="1093" w:y="2538"/>
        <w:widowControl w:val="0"/>
        <w:shd w:val="clear" w:color="auto" w:fill="auto"/>
        <w:spacing w:before="0" w:after="0" w:line="302" w:lineRule="auto"/>
        <w:ind w:left="0" w:right="0" w:firstLine="760"/>
        <w:jc w:val="both"/>
      </w:pPr>
      <w:r>
        <w:rPr>
          <w:rStyle w:val="CharStyle13"/>
          <w:rtl/>
        </w:rPr>
        <w:t>ويعد الاطلاع على توصية اللجنة العامة لمجلس الوزراء رقم (٢١١٤) وتاريخ ١٤٤٧/٢/٢٧ ه.</w:t>
      </w:r>
    </w:p>
    <w:p>
      <w:pPr>
        <w:pStyle w:val="Style12"/>
        <w:keepNext w:val="0"/>
        <w:keepLines w:val="0"/>
        <w:framePr w:w="10415" w:h="3508" w:hRule="exact" w:wrap="none" w:vAnchor="page" w:hAnchor="page" w:x="1093" w:y="12572"/>
        <w:widowControl w:val="0"/>
        <w:shd w:val="clear" w:color="auto" w:fill="auto"/>
        <w:spacing w:before="0" w:after="0" w:line="319" w:lineRule="auto"/>
        <w:ind w:left="0" w:right="0" w:firstLine="0"/>
        <w:jc w:val="center"/>
      </w:pPr>
      <w:r>
        <w:rPr>
          <w:rStyle w:val="CharStyle13"/>
          <w:rtl/>
        </w:rPr>
        <w:t>يعرر</w:t>
      </w:r>
    </w:p>
    <w:p>
      <w:pPr>
        <w:pStyle w:val="Style14"/>
        <w:keepNext w:val="0"/>
        <w:keepLines w:val="0"/>
        <w:framePr w:w="10415" w:h="3508" w:hRule="exact" w:wrap="none" w:vAnchor="page" w:hAnchor="page" w:x="1093" w:y="12572"/>
        <w:widowControl w:val="0"/>
        <w:shd w:val="clear" w:color="auto" w:fill="auto"/>
        <w:spacing w:before="0" w:after="0"/>
        <w:ind w:right="0"/>
        <w:jc w:val="both"/>
      </w:pPr>
      <w:r>
        <w:rPr>
          <w:rStyle w:val="CharStyle15"/>
          <w:b/>
          <w:bCs/>
          <w:rtl/>
        </w:rPr>
        <w:t>تعديل قرار مجلس الونراء رقم (٥٨٥) وتاريخ ١٤٤٤/٨/٢٢، ليكون بالنص الاقي: منح معالي وذير الموارد البشرية والتنمية الاجتماعية الصلاحية فيما يأقي:</w:t>
      </w:r>
    </w:p>
    <w:p>
      <w:pPr>
        <w:pStyle w:val="Style12"/>
        <w:keepNext w:val="0"/>
        <w:keepLines w:val="0"/>
        <w:framePr w:w="10415" w:h="3508" w:hRule="exact" w:wrap="none" w:vAnchor="page" w:hAnchor="page" w:x="1093" w:y="12572"/>
        <w:widowControl w:val="0"/>
        <w:shd w:val="clear" w:color="auto" w:fill="auto"/>
        <w:spacing w:before="0" w:after="0" w:line="319" w:lineRule="auto"/>
        <w:ind w:left="1280" w:right="0" w:hanging="520"/>
        <w:jc w:val="both"/>
      </w:pPr>
      <w:r>
        <w:rPr>
          <w:rStyle w:val="CharStyle13"/>
          <w:rtl/>
        </w:rPr>
        <w:t xml:space="preserve">١- تنظيم عمل المرافقين والمرافقات للعمالة الوافدة النظامية في المملكة، وتحديد التوسع في الأنشطة الاقتصادية والمهن، وفق الضوابط المنصوص عليها في الامر السامي رقم (٣٦٥٦٨) وتاريخ ١٤٣٧/٧/٢٧ه، وذلك بالتنسيق مع الجهات </w:t>
      </w:r>
      <w:r>
        <w:rPr>
          <w:rStyle w:val="CharStyle13"/>
          <w:rFonts w:ascii="Arial" w:eastAsia="Arial" w:hAnsi="Arial" w:cs="Arial"/>
          <w:b/>
          <w:bCs/>
          <w:sz w:val="30"/>
          <w:szCs w:val="30"/>
          <w:rtl/>
          <w:lang w:val="en-US" w:eastAsia="en-US" w:bidi="en-US"/>
        </w:rPr>
        <w:t>3</w:t>
      </w:r>
      <w:r>
        <w:rPr>
          <w:rStyle w:val="CharStyle13"/>
          <w:rtl/>
        </w:rPr>
        <w:t>ات العلاقة.</w:t>
      </w:r>
    </w:p>
    <w:p>
      <w:pPr>
        <w:framePr w:wrap="none" w:vAnchor="page" w:hAnchor="page" w:x="845" w:y="16085"/>
        <w:widowControl w:val="0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6"/>
        <w:keepNext w:val="0"/>
        <w:keepLines w:val="0"/>
        <w:framePr w:w="472" w:h="293" w:hRule="exact" w:wrap="none" w:vAnchor="page" w:hAnchor="page" w:x="6134" w:y="599"/>
        <w:widowControl w:val="0"/>
        <w:shd w:val="clear" w:color="auto" w:fill="auto"/>
        <w:spacing w:before="0" w:after="0" w:line="240" w:lineRule="auto"/>
        <w:ind w:left="0" w:right="-20" w:firstLine="0"/>
        <w:jc w:val="center"/>
        <w:rPr>
          <w:sz w:val="24"/>
          <w:szCs w:val="24"/>
        </w:rPr>
      </w:pPr>
      <w:r>
        <w:rPr>
          <w:rStyle w:val="CharStyle7"/>
          <w:rFonts w:ascii="Arial" w:eastAsia="Arial" w:hAnsi="Arial" w:cs="Arial"/>
          <w:sz w:val="24"/>
          <w:szCs w:val="24"/>
          <w:rtl/>
        </w:rPr>
        <w:t>ر ج</w:t>
      </w:r>
    </w:p>
    <w:p>
      <w:pPr>
        <w:pStyle w:val="Style20"/>
        <w:keepNext w:val="0"/>
        <w:keepLines w:val="0"/>
        <w:framePr w:w="2201" w:h="871" w:hRule="exact" w:wrap="none" w:vAnchor="page" w:hAnchor="page" w:x="9455" w:y="1025"/>
        <w:widowControl w:val="0"/>
        <w:shd w:val="clear" w:color="auto" w:fill="auto"/>
        <w:spacing w:before="0" w:after="0" w:line="240" w:lineRule="auto"/>
        <w:ind w:left="0" w:right="0" w:firstLine="0"/>
        <w:jc w:val="left"/>
      </w:pPr>
      <w:bookmarkStart w:id="6" w:name="bookmark6"/>
      <w:r>
        <w:rPr>
          <w:rStyle w:val="CharStyle21"/>
          <w:rtl/>
        </w:rPr>
        <w:t>لهلكالعنيتالت</w:t>
      </w:r>
      <w:bookmarkEnd w:id="6"/>
    </w:p>
    <w:p>
      <w:pPr>
        <w:pStyle w:val="Style14"/>
        <w:keepNext w:val="0"/>
        <w:keepLines w:val="0"/>
        <w:framePr w:w="491" w:h="362" w:hRule="exact" w:wrap="none" w:vAnchor="page" w:hAnchor="page" w:x="8854" w:y="1442"/>
        <w:widowControl w:val="0"/>
        <w:shd w:val="clear" w:color="auto" w:fill="auto"/>
        <w:spacing w:before="0" w:after="0" w:line="240" w:lineRule="auto"/>
        <w:ind w:left="0" w:right="-20" w:firstLine="0"/>
        <w:jc w:val="center"/>
        <w:rPr>
          <w:sz w:val="30"/>
          <w:szCs w:val="30"/>
        </w:rPr>
      </w:pPr>
      <w:r>
        <w:rPr>
          <w:rStyle w:val="CharStyle15"/>
          <w:sz w:val="30"/>
          <w:szCs w:val="30"/>
          <w:rtl/>
        </w:rPr>
        <w:t>ري</w:t>
      </w:r>
    </w:p>
    <w:p>
      <w:pPr>
        <w:pStyle w:val="Style23"/>
        <w:keepNext w:val="0"/>
        <w:keepLines w:val="0"/>
        <w:framePr w:w="404" w:h="688" w:hRule="exact" w:wrap="none" w:vAnchor="page" w:hAnchor="page" w:x="6336" w:y="1209"/>
        <w:widowControl w:val="0"/>
        <w:shd w:val="clear" w:color="auto" w:fill="auto"/>
        <w:spacing w:before="0" w:after="0" w:line="240" w:lineRule="auto"/>
        <w:ind w:left="0" w:right="-20" w:firstLine="0"/>
        <w:jc w:val="center"/>
      </w:pPr>
      <w:r>
        <w:rPr>
          <w:rStyle w:val="CharStyle24"/>
          <w:rtl/>
        </w:rPr>
        <w:t>٦</w:t>
      </w:r>
    </w:p>
    <w:p>
      <w:pPr>
        <w:pStyle w:val="Style20"/>
        <w:keepNext w:val="0"/>
        <w:keepLines w:val="0"/>
        <w:framePr w:w="2834" w:h="605" w:hRule="exact" w:wrap="none" w:vAnchor="page" w:hAnchor="page" w:x="8771" w:y="1901"/>
        <w:widowControl w:val="0"/>
        <w:shd w:val="clear" w:color="auto" w:fill="auto"/>
        <w:spacing w:before="0" w:after="0" w:line="240" w:lineRule="auto"/>
        <w:ind w:left="0" w:right="0" w:firstLine="0"/>
        <w:jc w:val="left"/>
      </w:pPr>
      <w:bookmarkStart w:id="8" w:name="bookmark8"/>
      <w:r>
        <w:rPr>
          <w:rStyle w:val="CharStyle21"/>
          <w:rtl/>
        </w:rPr>
        <w:t>لقانتالعانتلجللالوزرا</w:t>
      </w:r>
      <w:bookmarkEnd w:id="8"/>
    </w:p>
    <w:p>
      <w:pPr>
        <w:pStyle w:val="Style6"/>
        <w:keepNext w:val="0"/>
        <w:keepLines w:val="0"/>
        <w:framePr w:w="280" w:h="298" w:hRule="exact" w:wrap="none" w:vAnchor="page" w:hAnchor="page" w:x="6432" w:y="2195"/>
        <w:widowControl w:val="0"/>
        <w:shd w:val="clear" w:color="auto" w:fill="auto"/>
        <w:spacing w:before="0" w:after="0" w:line="240" w:lineRule="auto"/>
        <w:ind w:left="0" w:right="0" w:firstLine="0"/>
        <w:jc w:val="left"/>
        <w:rPr>
          <w:sz w:val="20"/>
          <w:szCs w:val="20"/>
        </w:rPr>
      </w:pPr>
      <w:r>
        <w:rPr>
          <w:rStyle w:val="CharStyle7"/>
          <w:rFonts w:ascii="Arial" w:eastAsia="Arial" w:hAnsi="Arial" w:cs="Arial"/>
          <w:sz w:val="20"/>
          <w:szCs w:val="20"/>
          <w:rtl/>
        </w:rPr>
        <w:t>ب</w:t>
      </w:r>
    </w:p>
    <w:p>
      <w:pPr>
        <w:pStyle w:val="Style6"/>
        <w:keepNext w:val="0"/>
        <w:keepLines w:val="0"/>
        <w:framePr w:w="335" w:h="202" w:hRule="exact" w:wrap="none" w:vAnchor="page" w:hAnchor="page" w:x="6368" w:y="2282"/>
        <w:widowControl w:val="0"/>
        <w:shd w:val="clear" w:color="auto" w:fill="auto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rStyle w:val="CharStyle7"/>
          <w:rFonts w:ascii="Arial" w:eastAsia="Arial" w:hAnsi="Arial" w:cs="Arial"/>
          <w:sz w:val="16"/>
          <w:szCs w:val="16"/>
          <w:rtl/>
        </w:rPr>
        <w:t>٤ش</w:t>
      </w:r>
    </w:p>
    <w:p>
      <w:pPr>
        <w:pStyle w:val="Style20"/>
        <w:keepNext w:val="0"/>
        <w:keepLines w:val="0"/>
        <w:framePr w:w="1784" w:h="890" w:hRule="exact" w:wrap="none" w:vAnchor="page" w:hAnchor="page" w:x="9349" w:y="2511"/>
        <w:widowControl w:val="0"/>
        <w:shd w:val="clear" w:color="auto" w:fill="auto"/>
        <w:spacing w:before="0" w:after="0" w:line="240" w:lineRule="auto"/>
        <w:ind w:left="0" w:right="0" w:firstLine="0"/>
        <w:jc w:val="left"/>
      </w:pPr>
      <w:bookmarkStart w:id="10" w:name="bookmark10"/>
      <w:r>
        <w:rPr>
          <w:rStyle w:val="CharStyle21"/>
          <w:rtl/>
        </w:rPr>
        <w:t>وإرانريجلترالوزران</w:t>
      </w:r>
      <w:bookmarkEnd w:id="10"/>
    </w:p>
    <w:p>
      <w:pPr>
        <w:pStyle w:val="Style23"/>
        <w:keepNext w:val="0"/>
        <w:keepLines w:val="0"/>
        <w:framePr w:w="514" w:h="656" w:hRule="exact" w:wrap="none" w:vAnchor="page" w:hAnchor="page" w:x="6281" w:y="2506"/>
        <w:widowControl w:val="0"/>
        <w:pBdr>
          <w:bottom w:val="single" w:sz="4" w:space="0" w:color="auto"/>
        </w:pBdr>
        <w:shd w:val="clear" w:color="auto" w:fill="auto"/>
        <w:spacing w:before="0" w:after="0" w:line="240" w:lineRule="auto"/>
        <w:ind w:left="0" w:right="0" w:firstLine="0"/>
        <w:jc w:val="left"/>
      </w:pPr>
      <w:r>
        <w:rPr>
          <w:rStyle w:val="CharStyle24"/>
          <w:rtl/>
        </w:rPr>
        <w:t>(٢)</w:t>
      </w:r>
    </w:p>
    <w:p>
      <w:pPr>
        <w:pStyle w:val="Style23"/>
        <w:keepNext w:val="0"/>
        <w:keepLines w:val="0"/>
        <w:framePr w:w="9594" w:h="596" w:hRule="exact" w:wrap="none" w:vAnchor="page" w:hAnchor="page" w:x="1337" w:y="3405"/>
        <w:widowControl w:val="0"/>
        <w:shd w:val="clear" w:color="auto" w:fill="auto"/>
        <w:spacing w:before="0" w:after="0" w:line="240" w:lineRule="auto"/>
        <w:ind w:left="0" w:right="0" w:firstLine="0"/>
        <w:jc w:val="right"/>
      </w:pPr>
      <w:r>
        <w:rPr>
          <w:rStyle w:val="CharStyle24"/>
          <w:rtl/>
        </w:rPr>
        <w:t>٢- تحديد المقابل المالي لعمل المرافقين والمرافقات للعمالة الوافدة النظامية في</w:t>
      </w:r>
    </w:p>
    <w:p>
      <w:pPr>
        <w:pStyle w:val="Style23"/>
        <w:keepNext w:val="0"/>
        <w:keepLines w:val="0"/>
        <w:framePr w:w="9594" w:h="491" w:hRule="exact" w:wrap="none" w:vAnchor="page" w:hAnchor="page" w:x="1337" w:y="4006"/>
        <w:widowControl w:val="0"/>
        <w:shd w:val="clear" w:color="auto" w:fill="auto"/>
        <w:spacing w:before="0" w:after="0" w:line="240" w:lineRule="auto"/>
        <w:ind w:left="0" w:right="0" w:firstLine="0"/>
        <w:jc w:val="right"/>
      </w:pPr>
      <w:r>
        <w:rPr>
          <w:rStyle w:val="CharStyle24"/>
          <w:rtl/>
        </w:rPr>
        <w:t>المملكة، وذلك بالاتفاق مع وزارة المالية ومركز تنمية الإيرادات غير النفطية، على</w:t>
      </w:r>
    </w:p>
    <w:p>
      <w:pPr>
        <w:pStyle w:val="Style23"/>
        <w:keepNext w:val="0"/>
        <w:keepLines w:val="0"/>
        <w:framePr w:w="9594" w:h="569" w:hRule="exact" w:wrap="none" w:vAnchor="page" w:hAnchor="page" w:x="1337" w:y="4501"/>
        <w:widowControl w:val="0"/>
        <w:shd w:val="clear" w:color="auto" w:fill="auto"/>
        <w:spacing w:before="0" w:after="0" w:line="240" w:lineRule="auto"/>
        <w:ind w:left="0" w:right="0" w:firstLine="520"/>
        <w:jc w:val="both"/>
      </w:pPr>
      <w:r>
        <w:rPr>
          <w:rStyle w:val="CharStyle24"/>
          <w:rtl/>
        </w:rPr>
        <w:t>أن يكون مجمع ما يتم تحصيله عن كل مرافق سيعمل في سوق العمل مساويا</w:t>
      </w:r>
    </w:p>
    <w:p>
      <w:pPr>
        <w:pStyle w:val="Style23"/>
        <w:keepNext w:val="0"/>
        <w:keepLines w:val="0"/>
        <w:framePr w:w="9594" w:h="798" w:hRule="exact" w:wrap="none" w:vAnchor="page" w:hAnchor="page" w:x="1337" w:y="5075"/>
        <w:widowControl w:val="0"/>
        <w:shd w:val="clear" w:color="auto" w:fill="auto"/>
        <w:spacing w:before="0" w:after="0" w:line="240" w:lineRule="auto"/>
        <w:ind w:left="0" w:right="0" w:firstLine="520"/>
        <w:jc w:val="both"/>
      </w:pPr>
      <w:r>
        <w:rPr>
          <w:rStyle w:val="CharStyle24"/>
          <w:rtl/>
        </w:rPr>
        <w:t>لما يتم تحصيله من المقابل المالي المقرد على العمالة الوافدة في العطلعالخاص</w:t>
      </w:r>
    </w:p>
    <w:p>
      <w:pPr>
        <w:pStyle w:val="Style23"/>
        <w:keepNext w:val="0"/>
        <w:keepLines w:val="0"/>
        <w:framePr w:w="9594" w:h="757" w:hRule="exact" w:wrap="none" w:vAnchor="page" w:hAnchor="page" w:x="1337" w:y="7436"/>
        <w:widowControl w:val="0"/>
        <w:shd w:val="clear" w:color="auto" w:fill="auto"/>
        <w:spacing w:before="0" w:after="0" w:line="240" w:lineRule="auto"/>
        <w:ind w:left="0" w:right="0" w:firstLine="0"/>
        <w:jc w:val="right"/>
      </w:pPr>
      <w:r>
        <w:rPr>
          <w:rStyle w:val="CharStyle24"/>
          <w:rtl/>
        </w:rPr>
        <w:t>رئيس مجلس الوزراء</w:t>
      </w:r>
    </w:p>
    <w:p>
      <w:pPr>
        <w:widowControl w:val="0"/>
        <w:spacing w:line="1" w:lineRule="exact"/>
      </w:pPr>
    </w:p>
    <w:sectPr>
      <w:footnotePr>
        <w:pos w:val="pageBottom"/>
        <w:numFmt w:val="decimal"/>
        <w:numRestart w:val="continuous"/>
      </w:footnotePr>
      <w:pgSz w:w="11900" w:h="16840"/>
      <w:pgMar w:top="360" w:right="360" w:bottom="360" w:left="360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pPr>
        <w:bidi/>
      </w:pPr>
      <w:r/>
    </w:p>
  </w:footnote>
  <w:footnote w:id="1" w:type="continuationSeparator">
    <w:p>
      <w:pPr>
        <w:bidi/>
      </w:pPr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ar-SA" w:eastAsia="ar-SA" w:bidi="ar-SA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ar-SA" w:eastAsia="ar-SA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ar-SA" w:eastAsia="ar-SA"/>
    </w:rPr>
  </w:style>
  <w:style w:type="character" w:customStyle="1" w:styleId="CharStyle3">
    <w:name w:val="Header or footer (2)_"/>
    <w:basedOn w:val="DefaultParagraphFont"/>
    <w:link w:val="Sty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1024"/>
    </w:rPr>
  </w:style>
  <w:style w:type="character" w:customStyle="1" w:styleId="CharStyle5">
    <w:name w:val="Heading #2_"/>
    <w:basedOn w:val="DefaultParagraphFont"/>
    <w:link w:val="Style4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72"/>
      <w:szCs w:val="72"/>
      <w:u w:val="none"/>
    </w:rPr>
  </w:style>
  <w:style w:type="character" w:customStyle="1" w:styleId="CharStyle7">
    <w:name w:val="Other_"/>
    <w:basedOn w:val="DefaultParagraphFont"/>
    <w:link w:val="Style6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character" w:customStyle="1" w:styleId="CharStyle10">
    <w:name w:val="Body text (4)_"/>
    <w:basedOn w:val="DefaultParagraphFont"/>
    <w:link w:val="Style9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CharStyle13">
    <w:name w:val="Body text_"/>
    <w:basedOn w:val="DefaultParagraphFont"/>
    <w:link w:val="Style12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character" w:customStyle="1" w:styleId="CharStyle15">
    <w:name w:val="Body text (3)_"/>
    <w:basedOn w:val="DefaultParagraphFont"/>
    <w:link w:val="Style14"/>
    <w:rPr>
      <w:rFonts w:ascii="Arial" w:eastAsia="Arial" w:hAnsi="Arial" w:cs="Arial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CharStyle18">
    <w:name w:val="Header or footer_"/>
    <w:basedOn w:val="DefaultParagraphFont"/>
    <w:link w:val="Style17"/>
    <w:rPr>
      <w:rFonts w:ascii="Arial" w:eastAsia="Arial" w:hAnsi="Arial" w:cs="Arial"/>
      <w:b w:val="0"/>
      <w:bCs w:val="0"/>
      <w:i w:val="0"/>
      <w:iCs w:val="0"/>
      <w:smallCaps w:val="0"/>
      <w:strike w:val="0"/>
      <w:sz w:val="24"/>
      <w:szCs w:val="24"/>
      <w:u w:val="none"/>
      <w:lang w:val="1024"/>
    </w:rPr>
  </w:style>
  <w:style w:type="character" w:customStyle="1" w:styleId="CharStyle21">
    <w:name w:val="Heading #1_"/>
    <w:basedOn w:val="DefaultParagraphFont"/>
    <w:link w:val="Style20"/>
    <w:rPr>
      <w:rFonts w:ascii="Arial" w:eastAsia="Arial" w:hAnsi="Arial" w:cs="Arial"/>
      <w:b w:val="0"/>
      <w:bCs w:val="0"/>
      <w:i w:val="0"/>
      <w:iCs w:val="0"/>
      <w:smallCaps w:val="0"/>
      <w:strike w:val="0"/>
      <w:sz w:val="76"/>
      <w:szCs w:val="76"/>
      <w:u w:val="none"/>
    </w:rPr>
  </w:style>
  <w:style w:type="character" w:customStyle="1" w:styleId="CharStyle24">
    <w:name w:val="Body text (2)_"/>
    <w:basedOn w:val="DefaultParagraphFont"/>
    <w:link w:val="Style23"/>
    <w:rPr>
      <w:rFonts w:ascii="Arial" w:eastAsia="Arial" w:hAnsi="Arial" w:cs="Arial"/>
      <w:b w:val="0"/>
      <w:bCs w:val="0"/>
      <w:i w:val="0"/>
      <w:iCs w:val="0"/>
      <w:smallCaps w:val="0"/>
      <w:strike w:val="0"/>
      <w:sz w:val="64"/>
      <w:szCs w:val="64"/>
      <w:u w:val="none"/>
    </w:rPr>
  </w:style>
  <w:style w:type="paragraph" w:customStyle="1" w:styleId="Style2">
    <w:name w:val="Header or footer (2)"/>
    <w:basedOn w:val="Normal"/>
    <w:link w:val="CharStyle3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1024"/>
    </w:rPr>
  </w:style>
  <w:style w:type="paragraph" w:customStyle="1" w:styleId="Style4">
    <w:name w:val="Heading #2"/>
    <w:basedOn w:val="Normal"/>
    <w:link w:val="CharStyle5"/>
    <w:pPr>
      <w:widowControl w:val="0"/>
      <w:shd w:val="clear" w:color="auto" w:fill="auto"/>
      <w:bidi/>
      <w:spacing w:after="50"/>
      <w:jc w:val="left"/>
      <w:outlineLvl w:val="1"/>
    </w:pPr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72"/>
      <w:szCs w:val="72"/>
      <w:u w:val="none"/>
    </w:rPr>
  </w:style>
  <w:style w:type="paragraph" w:customStyle="1" w:styleId="Style6">
    <w:name w:val="Other"/>
    <w:basedOn w:val="Normal"/>
    <w:link w:val="CharStyle7"/>
    <w:pPr>
      <w:widowControl w:val="0"/>
      <w:shd w:val="clear" w:color="auto" w:fill="auto"/>
      <w:bidi/>
      <w:spacing w:after="100" w:line="326" w:lineRule="auto"/>
      <w:ind w:firstLine="400"/>
      <w:jc w:val="left"/>
    </w:pPr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paragraph" w:customStyle="1" w:styleId="Style9">
    <w:name w:val="Body text (4)"/>
    <w:basedOn w:val="Normal"/>
    <w:link w:val="CharStyle10"/>
    <w:pPr>
      <w:widowControl w:val="0"/>
      <w:shd w:val="clear" w:color="auto" w:fill="auto"/>
      <w:bidi/>
      <w:spacing w:after="100"/>
      <w:jc w:val="left"/>
    </w:pPr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styleId="Style12">
    <w:name w:val="Body text"/>
    <w:basedOn w:val="Normal"/>
    <w:link w:val="CharStyle13"/>
    <w:qFormat/>
    <w:pPr>
      <w:widowControl w:val="0"/>
      <w:shd w:val="clear" w:color="auto" w:fill="auto"/>
      <w:bidi/>
      <w:spacing w:after="100" w:line="326" w:lineRule="auto"/>
      <w:ind w:firstLine="400"/>
      <w:jc w:val="left"/>
    </w:pPr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paragraph" w:customStyle="1" w:styleId="Style14">
    <w:name w:val="Body text (3)"/>
    <w:basedOn w:val="Normal"/>
    <w:link w:val="CharStyle15"/>
    <w:pPr>
      <w:widowControl w:val="0"/>
      <w:shd w:val="clear" w:color="auto" w:fill="auto"/>
      <w:bidi/>
      <w:spacing w:line="334" w:lineRule="auto"/>
      <w:ind w:left="740" w:firstLine="20"/>
      <w:jc w:val="left"/>
    </w:pPr>
    <w:rPr>
      <w:rFonts w:ascii="Arial" w:eastAsia="Arial" w:hAnsi="Arial" w:cs="Arial"/>
      <w:b/>
      <w:bCs/>
      <w:i w:val="0"/>
      <w:iCs w:val="0"/>
      <w:smallCaps w:val="0"/>
      <w:strike w:val="0"/>
      <w:sz w:val="32"/>
      <w:szCs w:val="32"/>
      <w:u w:val="none"/>
    </w:rPr>
  </w:style>
  <w:style w:type="paragraph" w:customStyle="1" w:styleId="Style17">
    <w:name w:val="Header or footer"/>
    <w:basedOn w:val="Normal"/>
    <w:link w:val="CharStyle18"/>
    <w:pPr>
      <w:widowControl w:val="0"/>
      <w:shd w:val="clear" w:color="auto" w:fill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24"/>
      <w:szCs w:val="24"/>
      <w:u w:val="none"/>
      <w:lang w:val="1024"/>
    </w:rPr>
  </w:style>
  <w:style w:type="paragraph" w:customStyle="1" w:styleId="Style20">
    <w:name w:val="Heading #1"/>
    <w:basedOn w:val="Normal"/>
    <w:link w:val="CharStyle21"/>
    <w:pPr>
      <w:widowControl w:val="0"/>
      <w:shd w:val="clear" w:color="auto" w:fill="auto"/>
      <w:bidi/>
      <w:jc w:val="left"/>
      <w:outlineLvl w:val="0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76"/>
      <w:szCs w:val="76"/>
      <w:u w:val="none"/>
    </w:rPr>
  </w:style>
  <w:style w:type="paragraph" w:customStyle="1" w:styleId="Style23">
    <w:name w:val="Body text (2)"/>
    <w:basedOn w:val="Normal"/>
    <w:link w:val="CharStyle24"/>
    <w:pPr>
      <w:widowControl w:val="0"/>
      <w:shd w:val="clear" w:color="auto" w:fill="auto"/>
      <w:bidi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64"/>
      <w:szCs w:val="64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1.png" TargetMode="External"/></Relationships>
</file>