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/>
    </w:p>
    <w:p>
      <w:pPr>
        <w:framePr w:wrap="none" w:vAnchor="page" w:hAnchor="page" w:x="1826" w:y="417"/>
        <w:widowControl w:val="0"/>
      </w:pPr>
    </w:p>
    <w:p>
      <w:pPr>
        <w:framePr w:wrap="none" w:vAnchor="page" w:hAnchor="page" w:x="5242" w:y="481"/>
        <w:widowControl w:val="0"/>
        <w:rPr>
          <w:sz w:val="2"/>
          <w:szCs w:val="2"/>
        </w:rPr>
      </w:pPr>
      <w:r>
        <w:drawing>
          <wp:inline>
            <wp:extent cx="1013460" cy="367030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1013460" cy="367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8471" w:y="1316"/>
        <w:widowControl w:val="0"/>
        <w:rPr>
          <w:sz w:val="2"/>
          <w:szCs w:val="2"/>
        </w:rPr>
      </w:pPr>
      <w:r>
        <w:drawing>
          <wp:inline>
            <wp:extent cx="1811020" cy="833120"/>
            <wp:docPr id="2" name="Picut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1811020" cy="83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5485" w:y="1330"/>
        <w:widowControl w:val="0"/>
        <w:rPr>
          <w:sz w:val="2"/>
          <w:szCs w:val="2"/>
        </w:rPr>
      </w:pPr>
      <w:r>
        <w:drawing>
          <wp:inline>
            <wp:extent cx="687070" cy="798195"/>
            <wp:docPr id="3" name="Picut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687070" cy="798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4"/>
        <w:keepNext w:val="0"/>
        <w:keepLines w:val="0"/>
        <w:framePr w:w="10731" w:h="1004" w:hRule="exact" w:wrap="none" w:vAnchor="page" w:hAnchor="page" w:x="652" w:y="1146"/>
        <w:widowControl w:val="0"/>
        <w:shd w:val="clear" w:color="auto" w:fill="auto"/>
        <w:spacing w:before="0" w:after="200" w:line="240" w:lineRule="auto"/>
        <w:ind w:left="7370" w:right="596" w:firstLine="0"/>
        <w:jc w:val="both"/>
        <w:rPr>
          <w:sz w:val="36"/>
          <w:szCs w:val="36"/>
        </w:rPr>
      </w:pPr>
      <w:r>
        <w:rPr>
          <w:rStyle w:val="CharStyle5"/>
          <w:sz w:val="36"/>
          <w:szCs w:val="36"/>
          <w:rtl/>
        </w:rPr>
        <w:t>قرار رقم: (٢١٦)</w:t>
      </w:r>
    </w:p>
    <w:p>
      <w:pPr>
        <w:pStyle w:val="Style4"/>
        <w:keepNext w:val="0"/>
        <w:keepLines w:val="0"/>
        <w:framePr w:w="10731" w:h="1004" w:hRule="exact" w:wrap="none" w:vAnchor="page" w:hAnchor="page" w:x="652" w:y="1146"/>
        <w:widowControl w:val="0"/>
        <w:shd w:val="clear" w:color="auto" w:fill="auto"/>
        <w:spacing w:before="0" w:after="0" w:line="240" w:lineRule="auto"/>
        <w:ind w:left="7370" w:right="596" w:firstLine="0"/>
        <w:jc w:val="both"/>
        <w:rPr>
          <w:sz w:val="36"/>
          <w:szCs w:val="36"/>
        </w:rPr>
      </w:pPr>
      <w:r>
        <w:rPr>
          <w:rStyle w:val="CharStyle5"/>
          <w:sz w:val="36"/>
          <w:szCs w:val="36"/>
          <w:rtl/>
        </w:rPr>
        <w:t>وتاريخ: ١٤٤٧/٣/١٧ه</w:t>
      </w:r>
    </w:p>
    <w:p>
      <w:pPr>
        <w:pStyle w:val="Style4"/>
        <w:keepNext w:val="0"/>
        <w:keepLines w:val="0"/>
        <w:framePr w:w="10731" w:h="9062" w:hRule="exact" w:wrap="none" w:vAnchor="page" w:hAnchor="page" w:x="652" w:y="2806"/>
        <w:widowControl w:val="0"/>
        <w:shd w:val="clear" w:color="auto" w:fill="auto"/>
        <w:tabs>
          <w:tab w:leader="hyphen" w:pos="10429" w:val="left"/>
        </w:tabs>
        <w:spacing w:before="0" w:after="0" w:line="317" w:lineRule="auto"/>
        <w:ind w:left="0" w:right="0" w:firstLine="0"/>
        <w:jc w:val="center"/>
        <w:rPr>
          <w:sz w:val="36"/>
          <w:szCs w:val="36"/>
        </w:rPr>
      </w:pPr>
      <w:r>
        <w:rPr>
          <w:rStyle w:val="CharStyle5"/>
          <w:sz w:val="36"/>
          <w:szCs w:val="36"/>
          <w:rtl/>
        </w:rPr>
        <w:t>-وزتتجليرالوزاء</w:t>
        <w:tab/>
        <w:t xml:space="preserve"> م</w:t>
      </w:r>
    </w:p>
    <w:p>
      <w:pPr>
        <w:pStyle w:val="Style4"/>
        <w:keepNext w:val="0"/>
        <w:keepLines w:val="0"/>
        <w:framePr w:w="10731" w:h="9062" w:hRule="exact" w:wrap="none" w:vAnchor="page" w:hAnchor="page" w:x="652" w:y="2806"/>
        <w:widowControl w:val="0"/>
        <w:shd w:val="clear" w:color="auto" w:fill="auto"/>
        <w:spacing w:before="0" w:after="0" w:line="336" w:lineRule="auto"/>
        <w:ind w:left="0" w:right="0" w:firstLine="140"/>
        <w:jc w:val="left"/>
      </w:pPr>
      <w:r>
        <w:rPr>
          <w:rStyle w:val="CharStyle5"/>
          <w:rtl/>
        </w:rPr>
        <w:t>إن مجلس الوزراء</w:t>
      </w:r>
    </w:p>
    <w:p>
      <w:pPr>
        <w:pStyle w:val="Style4"/>
        <w:keepNext w:val="0"/>
        <w:keepLines w:val="0"/>
        <w:framePr w:w="10731" w:h="9062" w:hRule="exact" w:wrap="none" w:vAnchor="page" w:hAnchor="page" w:x="652" w:y="2806"/>
        <w:widowControl w:val="0"/>
        <w:shd w:val="clear" w:color="auto" w:fill="auto"/>
        <w:spacing w:before="0" w:after="0" w:line="336" w:lineRule="auto"/>
        <w:ind w:left="140" w:right="0" w:firstLine="740"/>
        <w:jc w:val="both"/>
      </w:pPr>
      <w:r>
        <w:rPr>
          <w:rStyle w:val="CharStyle5"/>
          <w:rtl/>
        </w:rPr>
        <w:t>بعد الاطلاع على المعاملة الواردة من الديوان الملكي برقم ٨٠٦٠٢ وتاريخ ١٤٤٦/١١/٦ه، المشتملة على برقية معالي رئيس مجلس إدارة الهيئة العامة للغذاء والدواء رقم ٤٧١٩٨ وتاريخ ١٤٤٦/١٠/٣٠ه، في هان طلب معاليه الموافقة على انضمام هيئة تنمية البحث والتطوير والابتكار وهيئة فنون الطهي والهيئة العامة للامن الغذائي إلى عضوية اللجنة الوطنية للتغذية.</w:t>
      </w:r>
    </w:p>
    <w:p>
      <w:pPr>
        <w:pStyle w:val="Style4"/>
        <w:keepNext w:val="0"/>
        <w:keepLines w:val="0"/>
        <w:framePr w:w="10731" w:h="9062" w:hRule="exact" w:wrap="none" w:vAnchor="page" w:hAnchor="page" w:x="652" w:y="2806"/>
        <w:widowControl w:val="0"/>
        <w:shd w:val="clear" w:color="auto" w:fill="auto"/>
        <w:spacing w:before="0" w:after="0" w:line="336" w:lineRule="auto"/>
        <w:ind w:left="0" w:right="0" w:firstLine="860"/>
        <w:jc w:val="both"/>
      </w:pPr>
      <w:r>
        <w:rPr>
          <w:rStyle w:val="CharStyle5"/>
          <w:rtl/>
        </w:rPr>
        <w:t>وبعد الاطلاع على قرار مجلس الوزراء رقم (٤ ١٤) وتاريخ ٠/٣/٥ ٤ ١٤ه.</w:t>
      </w:r>
    </w:p>
    <w:p>
      <w:pPr>
        <w:pStyle w:val="Style4"/>
        <w:keepNext w:val="0"/>
        <w:keepLines w:val="0"/>
        <w:framePr w:w="10731" w:h="9062" w:hRule="exact" w:wrap="none" w:vAnchor="page" w:hAnchor="page" w:x="652" w:y="2806"/>
        <w:widowControl w:val="0"/>
        <w:shd w:val="clear" w:color="auto" w:fill="auto"/>
        <w:spacing w:before="0" w:after="0" w:line="377" w:lineRule="auto"/>
        <w:ind w:left="140" w:right="0" w:firstLine="740"/>
        <w:jc w:val="both"/>
      </w:pPr>
      <w:r>
        <w:rPr>
          <w:rStyle w:val="CharStyle5"/>
          <w:rtl/>
        </w:rPr>
        <w:t>ويعد الاطلاع على المذكرة رتم (٣٩٣٦) وتاريخ ٦/١٢/١ ٤ ١٤ه، المعدة في هيئة الخبراء بمجلس الوزراء.</w:t>
      </w:r>
    </w:p>
    <w:p>
      <w:pPr>
        <w:pStyle w:val="Style4"/>
        <w:keepNext w:val="0"/>
        <w:keepLines w:val="0"/>
        <w:framePr w:w="10731" w:h="9062" w:hRule="exact" w:wrap="none" w:vAnchor="page" w:hAnchor="page" w:x="652" w:y="2806"/>
        <w:widowControl w:val="0"/>
        <w:shd w:val="clear" w:color="auto" w:fill="auto"/>
        <w:spacing w:before="0" w:after="40" w:line="324" w:lineRule="auto"/>
        <w:ind w:left="140" w:right="0" w:firstLine="740"/>
        <w:jc w:val="both"/>
      </w:pPr>
      <w:r>
        <w:rPr>
          <w:rStyle w:val="CharStyle5"/>
          <w:rtl/>
        </w:rPr>
        <w:t>وبعد الاطلاع على التوصية المعدة في مجلس الشؤعن الاقتصادية والتنمية رقم (٦٤-٥/٤٦/٥٠) وتاريخ ١٤٤٦/١٢/٢٦ه.</w:t>
      </w:r>
    </w:p>
    <w:p>
      <w:pPr>
        <w:pStyle w:val="Style4"/>
        <w:keepNext w:val="0"/>
        <w:keepLines w:val="0"/>
        <w:framePr w:w="10731" w:h="9062" w:hRule="exact" w:wrap="none" w:vAnchor="page" w:hAnchor="page" w:x="652" w:y="2806"/>
        <w:widowControl w:val="0"/>
        <w:shd w:val="clear" w:color="auto" w:fill="auto"/>
        <w:spacing w:before="0" w:after="120" w:line="324" w:lineRule="auto"/>
        <w:ind w:left="140" w:right="0" w:firstLine="740"/>
        <w:jc w:val="both"/>
      </w:pPr>
      <w:r>
        <w:rPr>
          <w:rStyle w:val="CharStyle5"/>
          <w:rtl/>
        </w:rPr>
        <w:t>وبعد الاطلاع على توصية اللجنة العامة لمجلس الوزراء رقم (٩٧٤) وتاريخ ١٤٤٧/١/٢٨ ه.</w:t>
      </w:r>
    </w:p>
    <w:p>
      <w:pPr>
        <w:pStyle w:val="Style4"/>
        <w:keepNext w:val="0"/>
        <w:keepLines w:val="0"/>
        <w:framePr w:w="10731" w:h="9062" w:hRule="exact" w:wrap="none" w:vAnchor="page" w:hAnchor="page" w:x="652" w:y="2806"/>
        <w:widowControl w:val="0"/>
        <w:shd w:val="clear" w:color="auto" w:fill="auto"/>
        <w:spacing w:before="0" w:after="0" w:line="360" w:lineRule="auto"/>
        <w:ind w:left="0" w:right="0" w:firstLine="0"/>
        <w:jc w:val="center"/>
        <w:rPr>
          <w:sz w:val="32"/>
          <w:szCs w:val="32"/>
        </w:rPr>
      </w:pPr>
      <w:r>
        <w:rPr>
          <w:rStyle w:val="CharStyle5"/>
          <w:sz w:val="32"/>
          <w:szCs w:val="32"/>
          <w:rtl/>
        </w:rPr>
        <w:t>يقرر</w:t>
      </w:r>
    </w:p>
    <w:p>
      <w:pPr>
        <w:framePr w:wrap="none" w:vAnchor="page" w:hAnchor="page" w:x="743" w:y="12951"/>
        <w:widowControl w:val="0"/>
        <w:rPr>
          <w:sz w:val="2"/>
          <w:szCs w:val="2"/>
        </w:rPr>
      </w:pPr>
      <w:r>
        <w:drawing>
          <wp:inline>
            <wp:extent cx="1677670" cy="1601470"/>
            <wp:docPr id="4" name="Picut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ext cx="1677670" cy="1601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8"/>
        <w:keepNext w:val="0"/>
        <w:keepLines w:val="0"/>
        <w:framePr w:w="2380" w:h="440" w:hRule="exact" w:wrap="none" w:vAnchor="page" w:hAnchor="page" w:x="831" w:y="15771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r>
        <w:rPr>
          <w:rStyle w:val="CharStyle9"/>
          <w:rtl/>
        </w:rPr>
        <w:t>رئيس مجلس الوزراء</w:t>
      </w:r>
    </w:p>
    <w:p>
      <w:pPr>
        <w:pStyle w:val="Style4"/>
        <w:keepNext w:val="0"/>
        <w:keepLines w:val="0"/>
        <w:framePr w:w="10731" w:h="1747" w:hRule="exact" w:wrap="none" w:vAnchor="page" w:hAnchor="page" w:x="652" w:y="11873"/>
        <w:widowControl w:val="0"/>
        <w:shd w:val="clear" w:color="auto" w:fill="auto"/>
        <w:spacing w:before="0" w:after="0" w:line="329" w:lineRule="auto"/>
        <w:ind w:left="160" w:right="202" w:firstLine="740"/>
        <w:jc w:val="both"/>
      </w:pPr>
      <w:r>
        <w:rPr>
          <w:rStyle w:val="CharStyle5"/>
          <w:rtl/>
        </w:rPr>
        <w:t>إضافة ممثل لكل من هيئة تنمية البحث والتطوير والابتكار وهيئة فنون الطهي والهيئة</w:t>
        <w:br/>
        <w:t>العامة للامن الغذائي إلى عضوية اللجنة الوطنية للتغذية، المنشأة بناء على البند (أولأ) من</w:t>
      </w:r>
    </w:p>
    <w:p>
      <w:pPr>
        <w:pStyle w:val="Style4"/>
        <w:keepNext w:val="0"/>
        <w:keepLines w:val="0"/>
        <w:framePr w:w="10731" w:h="1747" w:hRule="exact" w:wrap="none" w:vAnchor="page" w:hAnchor="page" w:x="652" w:y="11873"/>
        <w:widowControl w:val="0"/>
        <w:shd w:val="clear" w:color="auto" w:fill="auto"/>
        <w:spacing w:before="0" w:after="0" w:line="329" w:lineRule="auto"/>
        <w:ind w:left="160" w:right="4155" w:firstLine="0"/>
        <w:jc w:val="both"/>
      </w:pPr>
      <w:r>
        <w:rPr>
          <w:rStyle w:val="CharStyle5"/>
          <w:rtl/>
        </w:rPr>
        <w:t>قرار مجلس الوزراء رقم (٤ ١٤) وتاريخ ٠/٣/٥ ٤ ١٤ه.</w:t>
      </w: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pgSz w:w="11900" w:h="16840"/>
      <w:pgMar w:top="360" w:right="360" w:bottom="360" w:left="36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pPr>
        <w:bidi/>
      </w:pPr>
      <w:r/>
    </w:p>
  </w:footnote>
  <w:footnote w:id="1" w:type="continuationSeparator">
    <w:p>
      <w:pPr>
        <w:bidi/>
      </w:pPr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ar-SA" w:eastAsia="ar-SA" w:bidi="ar-SA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customStyle="1" w:styleId="CharStyle3">
    <w:name w:val="Body text (2)_"/>
    <w:basedOn w:val="DefaultParagraphFont"/>
    <w:link w:val="Style2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  <w:lang w:val="1024"/>
    </w:rPr>
  </w:style>
  <w:style w:type="character" w:customStyle="1" w:styleId="CharStyle5">
    <w:name w:val="Body text_"/>
    <w:basedOn w:val="DefaultParagraphFont"/>
    <w:link w:val="Style4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character" w:customStyle="1" w:styleId="CharStyle9">
    <w:name w:val="Picture caption_"/>
    <w:basedOn w:val="DefaultParagraphFont"/>
    <w:link w:val="Style8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paragraph" w:customStyle="1" w:styleId="Style2">
    <w:name w:val="Body text (2)"/>
    <w:basedOn w:val="Normal"/>
    <w:link w:val="CharStyle3"/>
    <w:pPr>
      <w:widowControl w:val="0"/>
      <w:shd w:val="clear" w:color="auto" w:fill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  <w:lang w:val="1024"/>
    </w:rPr>
  </w:style>
  <w:style w:type="paragraph" w:styleId="Style4">
    <w:name w:val="Body text"/>
    <w:basedOn w:val="Normal"/>
    <w:link w:val="CharStyle5"/>
    <w:qFormat/>
    <w:pPr>
      <w:widowControl w:val="0"/>
      <w:shd w:val="clear" w:color="auto" w:fill="auto"/>
      <w:bidi/>
      <w:spacing w:line="331" w:lineRule="auto"/>
      <w:ind w:firstLine="400"/>
      <w:jc w:val="left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paragraph" w:customStyle="1" w:styleId="Style8">
    <w:name w:val="Picture caption"/>
    <w:basedOn w:val="Normal"/>
    <w:link w:val="CharStyle9"/>
    <w:pPr>
      <w:widowControl w:val="0"/>
      <w:shd w:val="clear" w:color="auto" w:fill="auto"/>
      <w:bidi/>
      <w:jc w:val="left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sz w:val="34"/>
      <w:szCs w:val="34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1.p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2.png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3.png" TargetMode="External"/><Relationship Id="rId11" Type="http://schemas.openxmlformats.org/officeDocument/2006/relationships/image" Target="media/image4.png"/><Relationship Id="rId12" Type="http://schemas.openxmlformats.org/officeDocument/2006/relationships/image" Target="media/image4.png" TargetMode="External"/></Relationships>
</file>