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8547" w:y="1084"/>
        <w:widowControl w:val="0"/>
        <w:rPr>
          <w:sz w:val="2"/>
          <w:szCs w:val="2"/>
        </w:rPr>
      </w:pPr>
      <w:r>
        <w:drawing>
          <wp:inline>
            <wp:extent cx="1828800" cy="85979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828800" cy="859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240" w:y="278"/>
        <w:widowControl w:val="0"/>
        <w:rPr>
          <w:sz w:val="2"/>
          <w:szCs w:val="2"/>
        </w:rPr>
      </w:pPr>
      <w:r>
        <w:drawing>
          <wp:inline>
            <wp:extent cx="1036320" cy="135953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036320" cy="135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10824" w:h="1824" w:hRule="exact" w:wrap="none" w:vAnchor="page" w:hAnchor="page" w:x="680" w:y="163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0" w:name="bookmark0"/>
      <w:r>
        <w:rPr>
          <w:rStyle w:val="CharStyle3"/>
        </w:rPr>
        <w:t>UI</w:t>
      </w:r>
      <w:bookmarkEnd w:id="0"/>
    </w:p>
    <w:p>
      <w:pPr>
        <w:pStyle w:val="Style4"/>
        <w:keepNext w:val="0"/>
        <w:keepLines w:val="0"/>
        <w:framePr w:w="10824" w:h="1824" w:hRule="exact" w:wrap="none" w:vAnchor="page" w:hAnchor="page" w:x="680" w:y="163"/>
        <w:widowControl w:val="0"/>
        <w:shd w:val="clear" w:color="auto" w:fill="auto"/>
        <w:spacing w:before="0" w:after="0"/>
        <w:ind w:left="7613" w:right="0"/>
        <w:jc w:val="left"/>
      </w:pPr>
      <w:r>
        <w:rPr>
          <w:rStyle w:val="CharStyle5"/>
          <w:rtl/>
        </w:rPr>
        <w:t>قرار رقم: (٧٨)</w:t>
        <w:br/>
        <w:t>وتاريخ : ١٤٤٧/١/٢٧ه</w:t>
      </w:r>
    </w:p>
    <w:p>
      <w:pPr>
        <w:pStyle w:val="Style6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tabs>
          <w:tab w:pos="10306" w:val="left"/>
        </w:tabs>
        <w:spacing w:before="0" w:line="240" w:lineRule="auto"/>
        <w:ind w:left="0" w:right="0" w:firstLine="0"/>
        <w:jc w:val="both"/>
      </w:pPr>
      <w:bookmarkStart w:id="2" w:name="bookmark2"/>
      <w:r>
        <w:rPr>
          <w:rStyle w:val="CharStyle7"/>
          <w:rtl/>
        </w:rPr>
        <w:t>. وإزاتئجليرالوزراغ .</w:t>
        <w:tab/>
        <w:t>-</w:t>
      </w:r>
      <w:bookmarkEnd w:id="2"/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140" w:line="240" w:lineRule="auto"/>
        <w:ind w:left="0" w:right="0" w:firstLine="200"/>
        <w:jc w:val="left"/>
      </w:pPr>
      <w:r>
        <w:rPr>
          <w:rStyle w:val="CharStyle9"/>
          <w:b/>
          <w:bCs/>
          <w:rtl/>
        </w:rPr>
        <w:t>إن مجلس الوزراء</w:t>
      </w:r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 w:line="379" w:lineRule="auto"/>
        <w:ind w:left="200" w:right="0" w:firstLine="720"/>
        <w:jc w:val="both"/>
      </w:pPr>
      <w:r>
        <w:rPr>
          <w:rStyle w:val="CharStyle9"/>
          <w:b/>
          <w:bCs/>
          <w:rtl/>
        </w:rPr>
        <w:t>بعد الاطلاع في جلسته المنعقدة برئاسة خادم الحرمين الشريفين الملك سلمان بن عبدالعزيز آل معود، على المعاملة الواردة من الديوان الملكي برقم ٧٧٤٨٨ وتاريخ ١٤٤٦/١٠/٢٤ه، في شأن تعديل المادة (الرابعة) من تنظيم الهيئة السعودية للبحر الاحمر.</w:t>
      </w:r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 w:line="350" w:lineRule="auto"/>
        <w:ind w:left="200" w:right="0" w:firstLine="720"/>
        <w:jc w:val="both"/>
      </w:pPr>
      <w:r>
        <w:rPr>
          <w:rStyle w:val="CharStyle9"/>
          <w:b/>
          <w:bCs/>
          <w:rtl/>
        </w:rPr>
        <w:t>وبعد الاطلاع على تنظيم الهيئة السعودية للبحر الاحمر، الصادر بقرار مجلس الوزراء رقم (٣٠٦) وتاريخ ١٤٤٥/٤/١٦ه.</w:t>
      </w:r>
    </w:p>
    <w:p>
      <w:pPr>
        <w:pStyle w:val="Style10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 w:line="386" w:lineRule="auto"/>
        <w:ind w:left="200" w:right="0" w:firstLine="720"/>
        <w:jc w:val="both"/>
      </w:pPr>
      <w:bookmarkStart w:id="4" w:name="bookmark4"/>
      <w:r>
        <w:rPr>
          <w:rStyle w:val="CharStyle11"/>
          <w:rtl/>
        </w:rPr>
        <w:t>وبعد الاطلاع على المذكرة رقم (٣٧٦٨) وتاريخ ١٤٤٦/١١/١٧ه، المعدة في هيئة الخبراء بمجلس الوزراء.</w:t>
      </w:r>
      <w:bookmarkEnd w:id="4"/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/>
        <w:ind w:left="200" w:right="0" w:firstLine="720"/>
        <w:jc w:val="both"/>
      </w:pPr>
      <w:r>
        <w:rPr>
          <w:rStyle w:val="CharStyle9"/>
          <w:b/>
          <w:bCs/>
          <w:rtl/>
        </w:rPr>
        <w:t>وبعد الاطلاع على المحضر المعد في مجلس الشؤعن الاقتصادية والتنمية رقم (٤٦/١٨٠٦) وتاريخ ١٤٤٦/١٢/٢ه.</w:t>
      </w:r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 w:line="331" w:lineRule="auto"/>
        <w:ind w:left="0" w:right="0" w:firstLine="920"/>
        <w:jc w:val="both"/>
      </w:pPr>
      <w:r>
        <w:rPr>
          <w:rStyle w:val="CharStyle9"/>
          <w:b/>
          <w:bCs/>
          <w:rtl/>
        </w:rPr>
        <w:t>وبعد الاطلاع على توصية اللجنة العامة لمجلس الوزراء رقم (٥١٥)</w:t>
      </w:r>
    </w:p>
    <w:p>
      <w:pPr>
        <w:pStyle w:val="Style10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line="331" w:lineRule="auto"/>
        <w:ind w:left="0" w:right="0"/>
        <w:jc w:val="left"/>
      </w:pPr>
      <w:bookmarkStart w:id="6" w:name="bookmark6"/>
      <w:r>
        <w:rPr>
          <w:rStyle w:val="CharStyle11"/>
          <w:rtl/>
        </w:rPr>
        <w:t>وتاريخ ١٤٤٧/١/١٥ه.</w:t>
      </w:r>
      <w:bookmarkEnd w:id="6"/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/>
        <w:ind w:left="0" w:right="0" w:firstLine="0"/>
        <w:jc w:val="center"/>
      </w:pPr>
      <w:r>
        <w:rPr>
          <w:rStyle w:val="CharStyle9"/>
          <w:b/>
          <w:bCs/>
          <w:rtl/>
        </w:rPr>
        <w:t>يقرر</w:t>
      </w:r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 w:line="386" w:lineRule="auto"/>
        <w:ind w:left="200" w:right="0" w:firstLine="720"/>
        <w:jc w:val="both"/>
      </w:pPr>
      <w:r>
        <w:rPr>
          <w:rStyle w:val="CharStyle9"/>
          <w:b/>
          <w:bCs/>
          <w:rtl/>
        </w:rPr>
        <w:t>تعديل تنظيم الهيئة السعودية للبحر الأحمر -الصادر بقرار مجلس الوزراء رقم (٣٠٦) وتاريخ ١٤٤٥/٤/١٦ وفق الآتي:</w:t>
      </w:r>
    </w:p>
    <w:p>
      <w:pPr>
        <w:pStyle w:val="Style10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line="240" w:lineRule="auto"/>
        <w:ind w:left="0" w:right="0"/>
        <w:jc w:val="left"/>
      </w:pPr>
      <w:bookmarkStart w:id="8" w:name="bookmark8"/>
      <w:r>
        <w:rPr>
          <w:rStyle w:val="CharStyle11"/>
          <w:rtl/>
        </w:rPr>
        <w:t>١- حذف تعريف (الوزير) الوارد في المادة (الاولى).</w:t>
      </w:r>
      <w:bookmarkEnd w:id="8"/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/>
        <w:ind w:left="720" w:right="0" w:hanging="480"/>
        <w:jc w:val="both"/>
      </w:pPr>
      <w:r>
        <w:rPr>
          <w:rStyle w:val="CharStyle9"/>
          <w:b/>
          <w:bCs/>
          <w:rtl/>
        </w:rPr>
        <w:t>٢- تعديل المادة (الثانية) لتكون بالنص الآتي: "تتمتع الهيئة بالشخصية الاعتبارية وبالاستقلال المالي والإداري، وترتبط تنظيميا برئيس مجلس الوزراء، ويكون مقرها الرئيس في مدينة الرياض. ولها إنشاء فروع أو مكاتب داخل المملكة بحسب الحاجة".</w:t>
      </w:r>
    </w:p>
    <w:p>
      <w:pPr>
        <w:pStyle w:val="Style8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/>
        <w:ind w:left="720" w:right="0" w:hanging="480"/>
        <w:jc w:val="both"/>
      </w:pPr>
      <w:r>
        <w:rPr>
          <w:rStyle w:val="CharStyle9"/>
          <w:b/>
          <w:bCs/>
          <w:rtl/>
        </w:rPr>
        <w:t>٣- تعديل صدر المادة (الرابعة) ليكون بالنص الآتي: "يكون للهيئة مجلس إدارة يعين رئيسه بأمر من رئيس مجلس الوزراء، وعضوية: ..."</w:t>
      </w:r>
    </w:p>
    <w:p>
      <w:pPr>
        <w:pStyle w:val="Style10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200" w:line="240" w:lineRule="auto"/>
        <w:ind w:left="0" w:right="0"/>
        <w:jc w:val="both"/>
      </w:pPr>
      <w:bookmarkStart w:id="10" w:name="bookmark10"/>
      <w:r>
        <w:rPr>
          <w:rStyle w:val="CharStyle11"/>
          <w:rtl/>
        </w:rPr>
        <w:t>٤- إضافة فقرة تحمل الرقم (٣) إلى المادة (الرابعة) بالنص الآتي: "وزير السياحة"، واعادة</w:t>
      </w:r>
      <w:bookmarkEnd w:id="10"/>
    </w:p>
    <w:p>
      <w:pPr>
        <w:pStyle w:val="Style10"/>
        <w:keepNext w:val="0"/>
        <w:keepLines w:val="0"/>
        <w:framePr w:w="10824" w:h="13690" w:hRule="exact" w:wrap="none" w:vAnchor="page" w:hAnchor="page" w:x="680" w:y="2548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bookmarkStart w:id="12" w:name="bookmark12"/>
      <w:r>
        <w:rPr>
          <w:rStyle w:val="CharStyle11"/>
          <w:u w:val="single"/>
          <w:rtl/>
        </w:rPr>
        <w:t>/ ترتيب بقجة الفترات تبعاً لذ لك٠</w:t>
      </w:r>
      <w:r>
        <w:rPr>
          <w:rStyle w:val="CharStyle11"/>
          <w:rtl/>
        </w:rPr>
        <w:t xml:space="preserve"> )</w:t>
      </w:r>
      <w:bookmarkEnd w:id="12"/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13"/>
        <w:keepNext w:val="0"/>
        <w:keepLines w:val="0"/>
        <w:framePr w:w="2928" w:h="725" w:hRule="exact" w:wrap="none" w:vAnchor="page" w:hAnchor="page" w:x="8538" w:y="1099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14" w:name="bookmark14"/>
      <w:r>
        <w:rPr>
          <w:rStyle w:val="CharStyle14"/>
          <w:rtl/>
        </w:rPr>
        <w:t>إلهيلكالجتيالتتبجونة</w:t>
      </w:r>
      <w:bookmarkEnd w:id="14"/>
    </w:p>
    <w:p>
      <w:pPr>
        <w:pStyle w:val="Style15"/>
        <w:keepNext w:val="0"/>
        <w:keepLines w:val="0"/>
        <w:framePr w:w="2870" w:h="677" w:hRule="exact" w:wrap="none" w:vAnchor="page" w:hAnchor="page" w:x="8538" w:y="182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bookmarkStart w:id="16" w:name="bookmark16"/>
      <w:r>
        <w:rPr>
          <w:rStyle w:val="CharStyle16"/>
        </w:rPr>
        <w:t>11</w:t>
      </w:r>
      <w:bookmarkEnd w:id="16"/>
    </w:p>
    <w:p>
      <w:pPr>
        <w:pStyle w:val="Style17"/>
        <w:keepNext w:val="0"/>
        <w:keepLines w:val="0"/>
        <w:framePr w:w="1810" w:h="826" w:hRule="exact" w:wrap="none" w:vAnchor="page" w:hAnchor="page" w:x="9166" w:y="2515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70"/>
          <w:szCs w:val="70"/>
        </w:rPr>
      </w:pPr>
      <w:r>
        <w:rPr>
          <w:rStyle w:val="CharStyle18"/>
          <w:sz w:val="70"/>
          <w:szCs w:val="70"/>
          <w:rtl/>
        </w:rPr>
        <w:t>ؤسا</w:t>
      </w:r>
    </w:p>
    <w:p>
      <w:pPr>
        <w:pStyle w:val="Style13"/>
        <w:keepNext w:val="0"/>
        <w:keepLines w:val="0"/>
        <w:framePr w:w="1421" w:h="1056" w:hRule="exact" w:wrap="none" w:vAnchor="page" w:hAnchor="page" w:x="5259" w:y="38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bookmarkStart w:id="18" w:name="bookmark18"/>
      <w:r>
        <w:rPr>
          <w:rStyle w:val="CharStyle14"/>
          <w:rtl/>
        </w:rPr>
        <w:t>ملنيالوالىيز</w:t>
      </w:r>
      <w:bookmarkEnd w:id="18"/>
    </w:p>
    <w:p>
      <w:pPr>
        <w:pStyle w:val="Style20"/>
        <w:keepNext w:val="0"/>
        <w:keepLines w:val="0"/>
        <w:framePr w:wrap="none" w:vAnchor="page" w:hAnchor="page" w:x="5701" w:y="109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1"/>
        </w:rPr>
        <w:t>1</w:t>
      </w:r>
    </w:p>
    <w:p>
      <w:pPr>
        <w:framePr w:wrap="none" w:vAnchor="page" w:hAnchor="page" w:x="5682" w:y="2035"/>
        <w:widowControl w:val="0"/>
      </w:pPr>
    </w:p>
    <w:p>
      <w:pPr>
        <w:pStyle w:val="Style8"/>
        <w:keepNext w:val="0"/>
        <w:keepLines w:val="0"/>
        <w:framePr w:w="542" w:h="389" w:hRule="exact" w:wrap="none" w:vAnchor="page" w:hAnchor="page" w:x="5816" w:y="2505"/>
        <w:widowControl w:val="0"/>
        <w:pBdr>
          <w:bottom w:val="single" w:sz="4" w:space="0" w:color="auto"/>
        </w:pBdr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9"/>
          <w:b/>
          <w:bCs/>
          <w:rtl/>
        </w:rPr>
        <w:t>(٢)</w:t>
      </w:r>
    </w:p>
    <w:p>
      <w:pPr>
        <w:pStyle w:val="Style17"/>
        <w:keepNext w:val="0"/>
        <w:keepLines w:val="0"/>
        <w:framePr w:w="10378" w:h="643" w:hRule="exact" w:wrap="none" w:vAnchor="page" w:hAnchor="page" w:x="872" w:y="3345"/>
        <w:widowControl w:val="0"/>
        <w:shd w:val="clear" w:color="auto" w:fill="auto"/>
        <w:spacing w:before="0" w:after="0" w:line="240" w:lineRule="auto"/>
        <w:ind w:left="0" w:right="0" w:firstLine="0"/>
        <w:jc w:val="both"/>
      </w:pPr>
      <w:r>
        <w:rPr>
          <w:rStyle w:val="CharStyle18"/>
          <w:rtl/>
        </w:rPr>
        <w:t>٥- تعديل الفقرة (١٦) من المادة (الرابعة) لتكون بالنص الآتي:"١٧- مختصين وخبراء لا</w:t>
      </w:r>
    </w:p>
    <w:p>
      <w:pPr>
        <w:pStyle w:val="Style17"/>
        <w:keepNext w:val="0"/>
        <w:keepLines w:val="0"/>
        <w:framePr w:w="9917" w:h="605" w:hRule="exact" w:wrap="none" w:vAnchor="page" w:hAnchor="page" w:x="853" w:y="3993"/>
        <w:widowControl w:val="0"/>
        <w:shd w:val="clear" w:color="auto" w:fill="auto"/>
        <w:spacing w:before="0" w:after="0" w:line="240" w:lineRule="auto"/>
        <w:ind w:left="0" w:right="0" w:firstLine="0"/>
        <w:jc w:val="both"/>
      </w:pPr>
      <w:r>
        <w:rPr>
          <w:rStyle w:val="CharStyle18"/>
          <w:rtl/>
        </w:rPr>
        <w:t>يقل عددهم عن (ثلاثة) ولا يزيد على (خمسة) في المجالات ذات العلاقة بعمل الهيئة،</w:t>
      </w:r>
    </w:p>
    <w:p>
      <w:pPr>
        <w:pStyle w:val="Style17"/>
        <w:keepNext w:val="0"/>
        <w:keepLines w:val="0"/>
        <w:framePr w:w="9926" w:h="533" w:hRule="exact" w:wrap="none" w:vAnchor="page" w:hAnchor="page" w:x="848" w:y="4603"/>
        <w:widowControl w:val="0"/>
        <w:shd w:val="clear" w:color="auto" w:fill="auto"/>
        <w:spacing w:before="0" w:after="0" w:line="240" w:lineRule="auto"/>
        <w:ind w:left="0" w:right="0" w:firstLine="0"/>
        <w:jc w:val="both"/>
      </w:pPr>
      <w:r>
        <w:rPr>
          <w:rStyle w:val="CharStyle18"/>
          <w:rtl/>
        </w:rPr>
        <w:t>يرشحهم الرئيس، ويصدر بتسميتهم أمر من رئيس مجلس الوزراء، وتكون مدة</w:t>
      </w:r>
    </w:p>
    <w:p>
      <w:pPr>
        <w:pStyle w:val="Style17"/>
        <w:keepNext w:val="0"/>
        <w:keepLines w:val="0"/>
        <w:framePr w:w="6086" w:h="778" w:hRule="exact" w:wrap="none" w:vAnchor="page" w:hAnchor="page" w:x="4693" w:y="5140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8"/>
          <w:rtl/>
        </w:rPr>
        <w:t>عضويتهم (ثلاث) منوات قابلة للتجديد مرة واحدة"</w:t>
      </w:r>
    </w:p>
    <w:p>
      <w:pPr>
        <w:pStyle w:val="Style8"/>
        <w:keepNext w:val="0"/>
        <w:keepLines w:val="0"/>
        <w:framePr w:w="163" w:h="389" w:hRule="exact" w:wrap="none" w:vAnchor="page" w:hAnchor="page" w:x="3714" w:y="6700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r>
        <w:rPr>
          <w:rStyle w:val="CharStyle9"/>
          <w:b/>
          <w:bCs/>
          <w:rtl/>
        </w:rPr>
        <w:t>٠</w:t>
      </w:r>
    </w:p>
    <w:p>
      <w:pPr>
        <w:framePr w:wrap="none" w:vAnchor="page" w:hAnchor="page" w:x="2605" w:y="6763"/>
        <w:widowControl w:val="0"/>
      </w:pPr>
    </w:p>
    <w:p>
      <w:pPr>
        <w:pStyle w:val="Style8"/>
        <w:keepNext w:val="0"/>
        <w:keepLines w:val="0"/>
        <w:framePr w:w="149" w:h="408" w:hRule="exact" w:wrap="none" w:vAnchor="page" w:hAnchor="page" w:x="2989" w:y="7094"/>
        <w:widowControl w:val="0"/>
        <w:pBdr>
          <w:top w:val="single" w:sz="4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9"/>
          <w:sz w:val="34"/>
          <w:szCs w:val="34"/>
          <w:rtl/>
        </w:rPr>
        <w:t>١</w:t>
      </w:r>
    </w:p>
    <w:p>
      <w:pPr>
        <w:pStyle w:val="Style17"/>
        <w:keepNext w:val="0"/>
        <w:keepLines w:val="0"/>
        <w:framePr w:w="3422" w:h="758" w:hRule="exact" w:wrap="none" w:vAnchor="page" w:hAnchor="page" w:x="872" w:y="7507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8"/>
          <w:rtl/>
        </w:rPr>
        <w:t>ملمان بن عبدالعزيز آل معود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Heading #4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  <w:lang w:val="en-US" w:eastAsia="en-US"/>
    </w:rPr>
  </w:style>
  <w:style w:type="character" w:customStyle="1" w:styleId="CharStyle5">
    <w:name w:val="Body text (3)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7">
    <w:name w:val="Heading #3_"/>
    <w:basedOn w:val="DefaultParagraphFont"/>
    <w:link w:val="Style6"/>
    <w:rPr>
      <w:rFonts w:ascii="Arial" w:eastAsia="Arial" w:hAnsi="Arial" w:cs="Arial"/>
      <w:b w:val="0"/>
      <w:bCs w:val="0"/>
      <w:i w:val="0"/>
      <w:iCs w:val="0"/>
      <w:smallCaps w:val="0"/>
      <w:strike w:val="0"/>
      <w:sz w:val="64"/>
      <w:szCs w:val="64"/>
      <w:u w:val="none"/>
    </w:rPr>
  </w:style>
  <w:style w:type="character" w:customStyle="1" w:styleId="CharStyle9">
    <w:name w:val="Body text_"/>
    <w:basedOn w:val="DefaultParagraphFont"/>
    <w:link w:val="Style8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11">
    <w:name w:val="Heading #5_"/>
    <w:basedOn w:val="DefaultParagraphFont"/>
    <w:link w:val="Sty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4">
    <w:name w:val="Heading #1_"/>
    <w:basedOn w:val="DefaultParagraphFont"/>
    <w:link w:val="Style13"/>
    <w:rPr>
      <w:rFonts w:ascii="Arial" w:eastAsia="Arial" w:hAnsi="Arial" w:cs="Arial"/>
      <w:b w:val="0"/>
      <w:bCs w:val="0"/>
      <w:i w:val="0"/>
      <w:iCs w:val="0"/>
      <w:smallCaps w:val="0"/>
      <w:strike w:val="0"/>
      <w:sz w:val="90"/>
      <w:szCs w:val="90"/>
      <w:u w:val="none"/>
    </w:rPr>
  </w:style>
  <w:style w:type="character" w:customStyle="1" w:styleId="CharStyle16">
    <w:name w:val="Heading #2_"/>
    <w:basedOn w:val="DefaultParagraphFont"/>
    <w:link w:val="Style15"/>
    <w:rPr>
      <w:rFonts w:ascii="Arial" w:eastAsia="Arial" w:hAnsi="Arial" w:cs="Arial"/>
      <w:b w:val="0"/>
      <w:bCs w:val="0"/>
      <w:i w:val="0"/>
      <w:iCs w:val="0"/>
      <w:smallCaps w:val="0"/>
      <w:strike w:val="0"/>
      <w:sz w:val="84"/>
      <w:szCs w:val="84"/>
      <w:u w:val="none"/>
      <w:lang w:val="en-US" w:eastAsia="en-US"/>
    </w:rPr>
  </w:style>
  <w:style w:type="character" w:customStyle="1" w:styleId="CharStyle18">
    <w:name w:val="Body text (2)_"/>
    <w:basedOn w:val="DefaultParagraphFont"/>
    <w:link w:val="Style17"/>
    <w:rPr>
      <w:rFonts w:ascii="Arial" w:eastAsia="Arial" w:hAnsi="Arial" w:cs="Arial"/>
      <w:b w:val="0"/>
      <w:bCs w:val="0"/>
      <w:i w:val="0"/>
      <w:iCs w:val="0"/>
      <w:smallCaps w:val="0"/>
      <w:strike w:val="0"/>
      <w:sz w:val="64"/>
      <w:szCs w:val="64"/>
      <w:u w:val="none"/>
    </w:rPr>
  </w:style>
  <w:style w:type="character" w:customStyle="1" w:styleId="CharStyle21">
    <w:name w:val="Body text (5)_"/>
    <w:basedOn w:val="DefaultParagraphFont"/>
    <w:link w:val="Style20"/>
    <w:rPr>
      <w:rFonts w:ascii="Arial" w:eastAsia="Arial" w:hAnsi="Arial" w:cs="Arial"/>
      <w:b w:val="0"/>
      <w:bCs w:val="0"/>
      <w:i w:val="0"/>
      <w:iCs w:val="0"/>
      <w:smallCaps w:val="0"/>
      <w:strike w:val="0"/>
      <w:sz w:val="74"/>
      <w:szCs w:val="74"/>
      <w:u w:val="none"/>
      <w:lang w:val="en-US" w:eastAsia="en-US"/>
    </w:rPr>
  </w:style>
  <w:style w:type="character" w:customStyle="1" w:styleId="CharStyle23">
    <w:name w:val="Body text (4)_"/>
    <w:basedOn w:val="DefaultParagraphFont"/>
    <w:link w:val="Style22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lang w:val="1024"/>
    </w:rPr>
  </w:style>
  <w:style w:type="paragraph" w:customStyle="1" w:styleId="Style2">
    <w:name w:val="Heading #4"/>
    <w:basedOn w:val="Normal"/>
    <w:link w:val="CharStyle3"/>
    <w:pPr>
      <w:widowControl w:val="0"/>
      <w:shd w:val="clear" w:color="auto" w:fill="auto"/>
      <w:spacing w:after="300"/>
      <w:ind w:firstLine="960"/>
      <w:outlineLvl w:val="3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  <w:lang w:val="en-US" w:eastAsia="en-US"/>
    </w:rPr>
  </w:style>
  <w:style w:type="paragraph" w:customStyle="1" w:styleId="Style4">
    <w:name w:val="Body text (3)"/>
    <w:basedOn w:val="Normal"/>
    <w:link w:val="CharStyle5"/>
    <w:pPr>
      <w:widowControl w:val="0"/>
      <w:shd w:val="clear" w:color="auto" w:fill="auto"/>
      <w:bidi/>
      <w:spacing w:after="580" w:line="293" w:lineRule="auto"/>
      <w:ind w:left="1160" w:firstLine="2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6">
    <w:name w:val="Heading #3"/>
    <w:basedOn w:val="Normal"/>
    <w:link w:val="CharStyle7"/>
    <w:pPr>
      <w:widowControl w:val="0"/>
      <w:shd w:val="clear" w:color="auto" w:fill="auto"/>
      <w:bidi/>
      <w:spacing w:after="140"/>
      <w:jc w:val="left"/>
      <w:outlineLvl w:val="2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4"/>
      <w:szCs w:val="64"/>
      <w:u w:val="none"/>
    </w:rPr>
  </w:style>
  <w:style w:type="paragraph" w:styleId="Style8">
    <w:name w:val="Body text"/>
    <w:basedOn w:val="Normal"/>
    <w:link w:val="CharStyle9"/>
    <w:qFormat/>
    <w:pPr>
      <w:widowControl w:val="0"/>
      <w:shd w:val="clear" w:color="auto" w:fill="auto"/>
      <w:bidi/>
      <w:spacing w:line="360" w:lineRule="auto"/>
      <w:ind w:firstLine="400"/>
      <w:jc w:val="left"/>
    </w:pPr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paragraph" w:customStyle="1" w:styleId="Style10">
    <w:name w:val="Heading #5"/>
    <w:basedOn w:val="Normal"/>
    <w:link w:val="CharStyle11"/>
    <w:pPr>
      <w:widowControl w:val="0"/>
      <w:shd w:val="clear" w:color="auto" w:fill="auto"/>
      <w:bidi/>
      <w:spacing w:after="80" w:line="286" w:lineRule="auto"/>
      <w:ind w:firstLine="200"/>
      <w:jc w:val="left"/>
      <w:outlineLvl w:val="4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13">
    <w:name w:val="Heading #1"/>
    <w:basedOn w:val="Normal"/>
    <w:link w:val="CharStyle14"/>
    <w:pPr>
      <w:widowControl w:val="0"/>
      <w:shd w:val="clear" w:color="auto" w:fill="auto"/>
      <w:bidi/>
      <w:jc w:val="center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90"/>
      <w:szCs w:val="90"/>
      <w:u w:val="none"/>
    </w:rPr>
  </w:style>
  <w:style w:type="paragraph" w:customStyle="1" w:styleId="Style15">
    <w:name w:val="Heading #2"/>
    <w:basedOn w:val="Normal"/>
    <w:link w:val="CharStyle16"/>
    <w:pPr>
      <w:widowControl w:val="0"/>
      <w:shd w:val="clear" w:color="auto" w:fill="auto"/>
      <w:jc w:val="right"/>
      <w:outlineLvl w:val="1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84"/>
      <w:szCs w:val="84"/>
      <w:u w:val="none"/>
      <w:lang w:val="en-US" w:eastAsia="en-US"/>
    </w:rPr>
  </w:style>
  <w:style w:type="paragraph" w:customStyle="1" w:styleId="Style17">
    <w:name w:val="Body text (2)"/>
    <w:basedOn w:val="Normal"/>
    <w:link w:val="CharStyle18"/>
    <w:pPr>
      <w:widowControl w:val="0"/>
      <w:shd w:val="clear" w:color="auto" w:fill="auto"/>
      <w:bidi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4"/>
      <w:szCs w:val="64"/>
      <w:u w:val="none"/>
    </w:rPr>
  </w:style>
  <w:style w:type="paragraph" w:customStyle="1" w:styleId="Style20">
    <w:name w:val="Body text (5)"/>
    <w:basedOn w:val="Normal"/>
    <w:link w:val="CharStyle21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74"/>
      <w:szCs w:val="74"/>
      <w:u w:val="none"/>
      <w:lang w:val="en-US" w:eastAsia="en-US"/>
    </w:rPr>
  </w:style>
  <w:style w:type="paragraph" w:customStyle="1" w:styleId="Style22">
    <w:name w:val="Body text (4)"/>
    <w:basedOn w:val="Normal"/>
    <w:link w:val="CharStyle23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lang w:val="1024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/Relationships>
</file>