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2055" w:y="6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</w:rPr>
        <w:t>H</w:t>
      </w:r>
    </w:p>
    <w:p>
      <w:pPr>
        <w:framePr w:wrap="none" w:vAnchor="page" w:hAnchor="page" w:x="5348" w:y="242"/>
        <w:widowControl w:val="0"/>
        <w:rPr>
          <w:sz w:val="2"/>
          <w:szCs w:val="2"/>
        </w:rPr>
      </w:pPr>
      <w:r>
        <w:drawing>
          <wp:inline>
            <wp:extent cx="981710" cy="37782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981710" cy="37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8473" w:y="1102"/>
        <w:widowControl w:val="0"/>
        <w:rPr>
          <w:sz w:val="2"/>
          <w:szCs w:val="2"/>
        </w:rPr>
      </w:pPr>
      <w:r>
        <w:drawing>
          <wp:inline>
            <wp:extent cx="1761490" cy="81661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761490" cy="8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583" w:y="1068"/>
        <w:widowControl w:val="0"/>
        <w:rPr>
          <w:sz w:val="2"/>
          <w:szCs w:val="2"/>
        </w:rPr>
      </w:pPr>
      <w:r>
        <w:drawing>
          <wp:inline>
            <wp:extent cx="676910" cy="81661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676910" cy="8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7"/>
        <w:keepNext w:val="0"/>
        <w:keepLines w:val="0"/>
        <w:framePr w:w="10589" w:h="970" w:hRule="exact" w:wrap="none" w:vAnchor="page" w:hAnchor="page" w:x="822" w:y="962"/>
        <w:widowControl w:val="0"/>
        <w:shd w:val="clear" w:color="auto" w:fill="auto"/>
        <w:spacing w:before="0" w:after="0" w:line="240" w:lineRule="auto"/>
        <w:ind w:left="7238" w:right="0" w:firstLine="0"/>
        <w:jc w:val="left"/>
      </w:pPr>
      <w:r>
        <w:rPr>
          <w:rStyle w:val="CharStyle8"/>
          <w:rtl/>
        </w:rPr>
        <w:t>قرار رقم: (١٥٧)</w:t>
      </w:r>
    </w:p>
    <w:p>
      <w:pPr>
        <w:pStyle w:val="Style7"/>
        <w:keepNext w:val="0"/>
        <w:keepLines w:val="0"/>
        <w:framePr w:w="10589" w:h="970" w:hRule="exact" w:wrap="none" w:vAnchor="page" w:hAnchor="page" w:x="822" w:y="962"/>
        <w:widowControl w:val="0"/>
        <w:shd w:val="clear" w:color="auto" w:fill="auto"/>
        <w:spacing w:before="0" w:after="0" w:line="240" w:lineRule="auto"/>
        <w:ind w:left="7238" w:right="0" w:firstLine="0"/>
        <w:jc w:val="left"/>
      </w:pPr>
      <w:r>
        <w:rPr>
          <w:rStyle w:val="CharStyle8"/>
          <w:rtl/>
        </w:rPr>
        <w:t>وتاريخ: ١٤٤٧/٢/٢٥ه</w:t>
      </w:r>
    </w:p>
    <w:p>
      <w:pPr>
        <w:pStyle w:val="Style9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tabs>
          <w:tab w:pos="10094" w:val="left"/>
        </w:tabs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10"/>
          <w:rtl/>
        </w:rPr>
        <w:t>-قلاليليالوزان</w:t>
        <w:tab/>
        <w:t>)</w:t>
      </w:r>
      <w:bookmarkEnd w:id="0"/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00" w:lineRule="auto"/>
        <w:ind w:left="0" w:right="0" w:firstLine="280"/>
        <w:jc w:val="left"/>
      </w:pPr>
      <w:r>
        <w:rPr>
          <w:rStyle w:val="CharStyle12"/>
          <w:rtl/>
        </w:rPr>
        <w:t>ان مجلس اسئ*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00" w:lineRule="auto"/>
        <w:ind w:left="280" w:right="0" w:firstLine="740"/>
        <w:jc w:val="both"/>
      </w:pPr>
      <w:r>
        <w:rPr>
          <w:rStyle w:val="CharStyle12"/>
          <w:rtl/>
        </w:rPr>
        <w:t>بعد الاطلاع على المعاملة الواردة من الديوان الملكي برقم ٣٠٩ وتاريخ ١،٤٧/١/١ه، المشعملة على برقية صاحب السمو وزير القافة رتم ٢٦٧٣ وتاريخ ١٤٤٢/١١/١٣ه، في شان مشروع نظام الحرف والصناعات اليدوية.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0" w:right="0" w:firstLine="1000"/>
        <w:jc w:val="left"/>
      </w:pPr>
      <w:r>
        <w:rPr>
          <w:rStyle w:val="CharStyle12"/>
          <w:rtl/>
        </w:rPr>
        <w:t>وبعد الاطلاع على مشروع النظام المشار إليه.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280" w:right="0" w:firstLine="740"/>
        <w:jc w:val="both"/>
      </w:pPr>
      <w:r>
        <w:rPr>
          <w:rStyle w:val="CharStyle12"/>
          <w:rtl/>
        </w:rPr>
        <w:t>وبعد الاطلاع على تنظيم هيئة العراث، الصادر بقرار مجلس الوذداء رتم (١٠١٢) وتاريخ ١٤٤٥/١١/٢٧م.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280" w:right="0" w:firstLine="740"/>
        <w:jc w:val="both"/>
      </w:pPr>
      <w:r>
        <w:rPr>
          <w:rStyle w:val="CharStyle12"/>
          <w:rtl/>
        </w:rPr>
        <w:t>وبعد الاطلاع على المحضر رتم (٢٥٦) وتاريخ ٤/٨/١٦ ١٤٤ه، والمذكرات رقم (٦٧٩) وتاريخ ١٤٤٤/٣/١ م، ورقم (٢٨٩١) وتاريخ ١٤٤٤/٩/٢١ه، ورتم (٢٣٨٩) وتاريخ ١٤٤٥/٧/٢ه، ورقم (٢٩٦٢) وتاريخ ١٤٤٥/٨/١ه، ورتم (٤٠٧٥) وتاريخ ٥/١١/٢٦، ١٤ه، ورقم (٧٨) وتاريخ ١٤٤٦/١/٤ه، ورقم (٥٣٠) وتاريخ ١٤٤٦/٢/١١ه، ورقم (١١٨٨) وتاريخ ١،٤٦/٤/٧ه، ورقم (١٨٥١) وتاريخ ١٤٤٦/٥/٢٦ه، ورقم (٣٢٤٣) وتاريخ ١٤٤٦/٩/٢٧ه، ووقم (١٧٣) وتارئخ ١٤٤٧/٧/١٨ه، ورتم (٦٥٤) وتارخ ١٤٤٧/٢/١٣ه، المعلة في هية لخبراء بمجلس الونعاء.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280" w:right="0" w:firstLine="740"/>
        <w:jc w:val="both"/>
      </w:pPr>
      <w:r>
        <w:rPr>
          <w:rStyle w:val="CharStyle12"/>
          <w:rtl/>
        </w:rPr>
        <w:t>وبعد الاطلاع على المحضر المعد في مجلس الشؤعن الاقصادية والعمية ركم (٣/٤٦/١٥٣٥) وتاريخ ١٤٤٦/١٠/١٥ه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00" w:lineRule="auto"/>
        <w:ind w:left="280" w:right="0" w:firstLine="740"/>
        <w:jc w:val="both"/>
      </w:pPr>
      <w:r>
        <w:rPr>
          <w:rStyle w:val="CharStyle12"/>
          <w:rtl/>
        </w:rPr>
        <w:t>وبعد النظر في قرارات مجلس الشورى رتم (٤/٣٤) وتاريخ ،٥/٣/٢ ١٤٤ه، ورنم (٢٧/٢٨٠) وتاريخ ١٤٤٥/١٠/٢٧ه، ورقم (٣٣/٣٣٠) وتارئخ ١٤٤٦/١٢/٢٧ه.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293" w:lineRule="auto"/>
        <w:ind w:left="280" w:right="0" w:firstLine="740"/>
        <w:jc w:val="both"/>
      </w:pPr>
      <w:r>
        <w:rPr>
          <w:rStyle w:val="CharStyle12"/>
          <w:rtl/>
        </w:rPr>
        <w:t>ويعد الاطلاع على توصية اللجنة العامة لمجلس الوناء رتم (١٩٤٢) وتاريخ ١٤٤٧/٢/٢٣ه.</w:t>
      </w:r>
    </w:p>
    <w:p>
      <w:pPr>
        <w:pStyle w:val="Style13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14"/>
          <w:rtl/>
        </w:rPr>
        <w:t>يقرر ما يلي: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240" w:lineRule="auto"/>
        <w:ind w:left="0" w:right="0" w:firstLine="280"/>
        <w:jc w:val="both"/>
      </w:pPr>
      <w:r>
        <w:rPr>
          <w:rStyle w:val="CharStyle12"/>
          <w:rtl/>
        </w:rPr>
        <w:t>أولا الموافقة على نظام الحرف والصناعات اليدوية، بالصيغة المرافقة.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0" w:right="0" w:firstLine="280"/>
        <w:jc w:val="both"/>
      </w:pPr>
      <w:r>
        <w:rPr>
          <w:rStyle w:val="CharStyle12"/>
          <w:rtl/>
        </w:rPr>
        <w:t>ثانيا: منح الممارمسين الحرفيين الحاليين مدة (سنة) من تاريخ العمل بالنظلم المشار إليه في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shd w:val="clear" w:color="auto" w:fill="auto"/>
        <w:spacing w:before="0" w:after="0" w:line="312" w:lineRule="auto"/>
        <w:ind w:left="0" w:right="0" w:firstLine="1000"/>
        <w:jc w:val="left"/>
      </w:pPr>
      <w:r>
        <w:rPr>
          <w:rStyle w:val="CharStyle12"/>
          <w:rtl/>
        </w:rPr>
        <w:t>البند (اولا) من هذا القرار، لتعديل أوضاعهم بما يتفق مع النظام.</w:t>
      </w:r>
    </w:p>
    <w:p>
      <w:pPr>
        <w:pStyle w:val="Style11"/>
        <w:keepNext w:val="0"/>
        <w:keepLines w:val="0"/>
        <w:framePr w:w="10589" w:h="13339" w:hRule="exact" w:wrap="none" w:vAnchor="page" w:hAnchor="page" w:x="822" w:y="2450"/>
        <w:widowControl w:val="0"/>
        <w:pBdr>
          <w:bottom w:val="single" w:sz="4" w:space="0" w:color="auto"/>
        </w:pBdr>
        <w:shd w:val="clear" w:color="auto" w:fill="auto"/>
        <w:spacing w:before="0" w:after="0" w:line="312" w:lineRule="auto"/>
        <w:ind w:left="0" w:right="0" w:firstLine="920"/>
        <w:jc w:val="both"/>
      </w:pPr>
      <w:r>
        <w:rPr>
          <w:rStyle w:val="CharStyle12"/>
          <w:rtl/>
        </w:rPr>
        <w:t>وقد أعد مشروع مرسوم ملكي بدلك، صيغته مرافقة لهذا.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633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5329" w:y="938"/>
        <w:widowControl w:val="0"/>
        <w:rPr>
          <w:sz w:val="2"/>
          <w:szCs w:val="2"/>
        </w:rPr>
      </w:pPr>
      <w:r>
        <w:drawing>
          <wp:inline>
            <wp:extent cx="987425" cy="38417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987425" cy="3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990" w:y="1773"/>
        <w:widowControl w:val="0"/>
        <w:rPr>
          <w:sz w:val="2"/>
          <w:szCs w:val="2"/>
        </w:rPr>
      </w:pPr>
      <w:r>
        <w:drawing>
          <wp:inline>
            <wp:extent cx="6510655" cy="1298575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6510655" cy="129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4" w:lineRule="auto"/>
        <w:ind w:left="949" w:right="120" w:hanging="820"/>
        <w:jc w:val="both"/>
      </w:pPr>
      <w:r>
        <w:rPr>
          <w:rStyle w:val="CharStyle12"/>
          <w:rtl/>
        </w:rPr>
        <w:t>ثالثا : دون إخلال باختصاصات الجهات الحكومية الاخرى، تتولى هيئة التراث تنظيم نشاط</w:t>
        <w:br/>
        <w:t>الحرف والصناعات اليدوية وفقا لما يحدده النظام، ولها على وجه خاص ما يأتي:</w:t>
        <w:br/>
        <w:t>١- إعداد قاثمة الحرف والصئاعات اليدوية، ورفعها إلى وزارة العقافة لاعتمادها.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0" w:right="120" w:firstLine="820"/>
        <w:jc w:val="both"/>
      </w:pPr>
      <w:r>
        <w:rPr>
          <w:rStyle w:val="CharStyle12"/>
          <w:rtl/>
        </w:rPr>
        <w:t>٢- وضع واععماد السجل الوطئي للحرفيين، وذلك بالعسيق مع وزارة العقافة.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1240" w:right="120" w:hanging="400"/>
        <w:jc w:val="both"/>
      </w:pPr>
      <w:r>
        <w:rPr>
          <w:rStyle w:val="CharStyle12"/>
          <w:rtl/>
        </w:rPr>
        <w:t>٣- إعداد معايير جودة منتجات الحرف والصئاعات اليدوية، ورفعها إلى وزارة المقافة</w:t>
        <w:br/>
        <w:t>لاعدمادها.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1240" w:right="120" w:hanging="400"/>
        <w:jc w:val="both"/>
      </w:pPr>
      <w:r>
        <w:rPr>
          <w:rStyle w:val="CharStyle12"/>
          <w:rtl/>
        </w:rPr>
        <w:t>٤- وضع واعتماد العرتييات والآليات اللازمة لتصدير منتجات الحرف والصناعات</w:t>
        <w:br/>
        <w:t>اليدوية لخارج المملكة ولعفعيل قنوات محلية ودولية لعسويق منتجات الحرف</w:t>
        <w:br/>
        <w:t>والصناعات اليدوية وبيعها، وذلك بالاتفاق مع الجهات ذات العلاقة.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1240" w:right="120" w:hanging="400"/>
        <w:jc w:val="both"/>
      </w:pPr>
      <w:r>
        <w:rPr>
          <w:rStyle w:val="CharStyle12"/>
          <w:rtl/>
        </w:rPr>
        <w:t>- إعداد مشروعات اللوائح الخاصة بتدريب الحرفيين وتأهيلهم وتصنيفهم، على أن</w:t>
        <w:br/>
        <w:t>تععمد من مجلس إدارة ميعة العراث.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1240" w:right="120" w:hanging="400"/>
        <w:jc w:val="both"/>
      </w:pPr>
      <w:r>
        <w:rPr>
          <w:rStyle w:val="CharStyle12"/>
          <w:rtl/>
        </w:rPr>
        <w:t>٦- إعداد برامج العلمدة وغيرها من برامج التدريب ونقل المعرفة، المرتبطة بالحرف</w:t>
        <w:br/>
        <w:t>والعناعات اليدوية، بالعسيق مع الجهات ذات العلاقة.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2" w:lineRule="auto"/>
        <w:ind w:left="1240" w:right="120" w:hanging="400"/>
        <w:jc w:val="both"/>
      </w:pPr>
      <w:r>
        <w:rPr>
          <w:rStyle w:val="CharStyle12"/>
          <w:rtl/>
        </w:rPr>
        <w:t>٧- قنفيذ المشاريع الوطنية التي تعنى بجمع الحرف والصناعات اليدوية ومنعجاتها</w:t>
        <w:br/>
        <w:t>وتوثيقها واثيات مصدرها الجغرافي.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38" w:lineRule="auto"/>
        <w:ind w:left="1240" w:right="120" w:hanging="400"/>
        <w:jc w:val="both"/>
      </w:pPr>
      <w:r>
        <w:rPr>
          <w:rStyle w:val="CharStyle12"/>
          <w:rtl/>
        </w:rPr>
        <w:t>٨- إعداد الضوابط الخاصة بعصنيع وتسويت الهدايا العذكارية لمنعجات الحرف</w:t>
        <w:br/>
        <w:t>والصئاعات اليدوية، ورفعها إلى وزارة الفقافة لاععمادها.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shd w:val="clear" w:color="auto" w:fill="auto"/>
        <w:spacing w:before="0" w:after="0" w:line="326" w:lineRule="auto"/>
        <w:ind w:left="0" w:right="120" w:firstLine="820"/>
        <w:jc w:val="both"/>
      </w:pPr>
      <w:r>
        <w:rPr>
          <w:rStyle w:val="CharStyle12"/>
          <w:rtl/>
        </w:rPr>
        <w:t>٩- اععماد متاجر بيع منعجات الحرف والصناعات اليدوية.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pBdr>
          <w:bottom w:val="single" w:sz="4" w:space="0" w:color="auto"/>
        </w:pBdr>
        <w:shd w:val="clear" w:color="auto" w:fill="auto"/>
        <w:spacing w:before="0" w:after="0" w:line="326" w:lineRule="auto"/>
        <w:ind w:left="949" w:right="120" w:hanging="820"/>
        <w:jc w:val="both"/>
      </w:pPr>
      <w:r>
        <w:rPr>
          <w:rStyle w:val="CharStyle12"/>
          <w:rtl/>
        </w:rPr>
        <w:t>رابعا: تتولى ميتة التراث ممارسة الاخصاصات والمهمات المقررة في النظام المشار إليه في</w:t>
        <w:br/>
        <w:t>البند أولا) من هذا القرار، وفي البند (ثالثا) من هذا القرار، بالععاون مع وزارة الثقافة</w:t>
        <w:br/>
        <w:t>والجهات المرتبطة بوزير الثقافة. وللوزير إسناد ممارسة أي من تلك الاختصاصات</w:t>
        <w:br/>
        <w:t>والمهمات إلى الوحدات التثظيمية بوزارة القافة أو الجهات المرتبطة بالوزير</w:t>
        <w:br/>
        <w:t>بالسسيق مع الهيعة بما يحقت العكامل في أداء الاختصاصات والمهمات بين</w:t>
      </w:r>
    </w:p>
    <w:p>
      <w:pPr>
        <w:pStyle w:val="Style11"/>
        <w:keepNext w:val="0"/>
        <w:keepLines w:val="0"/>
        <w:framePr w:w="10253" w:h="12658" w:hRule="exact" w:wrap="none" w:vAnchor="page" w:hAnchor="page" w:x="990" w:y="3928"/>
        <w:widowControl w:val="0"/>
        <w:pBdr>
          <w:bottom w:val="single" w:sz="4" w:space="0" w:color="auto"/>
        </w:pBdr>
        <w:shd w:val="clear" w:color="auto" w:fill="auto"/>
        <w:spacing w:before="0" w:after="0" w:line="326" w:lineRule="auto"/>
        <w:ind w:left="820" w:right="120" w:firstLine="0"/>
        <w:jc w:val="both"/>
      </w:pPr>
      <w:r>
        <w:rPr>
          <w:rStyle w:val="CharStyle12"/>
          <w:rtl/>
        </w:rPr>
        <w:t>الوزارة والهيثة.</w:t>
      </w:r>
    </w:p>
    <w:p>
      <w:pPr>
        <w:pStyle w:val="Style16"/>
        <w:keepNext w:val="0"/>
        <w:keepLines w:val="0"/>
        <w:framePr w:w="341" w:h="432" w:hRule="exact" w:wrap="none" w:vAnchor="page" w:hAnchor="page" w:x="10935" w:y="16250"/>
        <w:widowControl w:val="0"/>
        <w:shd w:val="clear" w:color="auto" w:fill="auto"/>
        <w:spacing w:before="0" w:after="0" w:line="240" w:lineRule="auto"/>
        <w:ind w:left="29" w:right="0" w:firstLine="0"/>
        <w:jc w:val="left"/>
      </w:pPr>
      <w:r>
        <w:rPr>
          <w:rStyle w:val="CharStyle17"/>
          <w:rtl/>
        </w:rPr>
        <w:t>ز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5303" w:y="624"/>
        <w:widowControl w:val="0"/>
        <w:rPr>
          <w:sz w:val="2"/>
          <w:szCs w:val="2"/>
        </w:rPr>
      </w:pPr>
      <w:r>
        <w:drawing>
          <wp:inline>
            <wp:extent cx="987425" cy="384175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987425" cy="3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519" w:y="1436"/>
        <w:widowControl w:val="0"/>
        <w:rPr>
          <w:sz w:val="2"/>
          <w:szCs w:val="2"/>
        </w:rPr>
      </w:pPr>
      <w:r>
        <w:drawing>
          <wp:inline>
            <wp:extent cx="713105" cy="853440"/>
            <wp:docPr id="7" name="Picut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713105" cy="8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8443" w:y="1460"/>
        <w:widowControl w:val="0"/>
        <w:rPr>
          <w:sz w:val="2"/>
          <w:szCs w:val="2"/>
        </w:rPr>
      </w:pPr>
      <w:r>
        <w:drawing>
          <wp:inline>
            <wp:extent cx="1749425" cy="829310"/>
            <wp:docPr id="8" name="Picut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1749425" cy="82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1"/>
        <w:keepNext w:val="0"/>
        <w:keepLines w:val="0"/>
        <w:framePr w:w="10238" w:h="2362" w:hRule="exact" w:wrap="none" w:vAnchor="page" w:hAnchor="page" w:x="1027" w:y="2933"/>
        <w:widowControl w:val="0"/>
        <w:shd w:val="clear" w:color="auto" w:fill="auto"/>
        <w:tabs>
          <w:tab w:leader="hyphen" w:pos="10138" w:val="left"/>
        </w:tabs>
        <w:spacing w:before="0" w:after="0"/>
        <w:ind w:left="0" w:right="0" w:firstLine="0"/>
        <w:jc w:val="right"/>
      </w:pPr>
      <w:r>
        <w:rPr>
          <w:rStyle w:val="CharStyle12"/>
          <w:rtl/>
        </w:rPr>
        <w:t>٠٦—^</w:t>
        <w:tab/>
      </w:r>
    </w:p>
    <w:p>
      <w:pPr>
        <w:pStyle w:val="Style11"/>
        <w:keepNext w:val="0"/>
        <w:keepLines w:val="0"/>
        <w:framePr w:w="10238" w:h="2362" w:hRule="exact" w:wrap="none" w:vAnchor="page" w:hAnchor="page" w:x="1027" w:y="2933"/>
        <w:widowControl w:val="0"/>
        <w:shd w:val="clear" w:color="auto" w:fill="auto"/>
        <w:tabs>
          <w:tab w:pos="8099" w:val="left"/>
        </w:tabs>
        <w:spacing w:before="0" w:after="0"/>
        <w:ind w:left="880" w:right="0" w:hanging="720"/>
        <w:jc w:val="both"/>
      </w:pPr>
      <w:r>
        <w:rPr>
          <w:rStyle w:val="CharStyle12"/>
          <w:rtl/>
        </w:rPr>
        <w:t>خامسا: تكون ممارسة مجلس إدارة هيئة التراث لصلاحيته في اععماد الضوابط المنصوص عليها في المادة (التاسعة) من النظام المشاوإليه في البند (أولا) من هذا القرار، بالاتفاق مع وزارة المالية.</w:t>
        <w:tab/>
        <w:t>ر</w:t>
      </w:r>
    </w:p>
    <w:p>
      <w:pPr>
        <w:pStyle w:val="Style18"/>
        <w:keepNext w:val="0"/>
        <w:keepLines w:val="0"/>
        <w:framePr w:w="10238" w:h="413" w:hRule="exact" w:wrap="none" w:vAnchor="page" w:hAnchor="page" w:x="1027" w:y="7335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19"/>
          <w:b/>
          <w:bCs/>
          <w:rtl/>
        </w:rPr>
        <w:t>رئيس مجلس الوزراء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er or footer (3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">
    <w:name w:val="Header or footer_"/>
    <w:basedOn w:val="DefaultParagraphFont"/>
    <w:link w:val="Style5"/>
    <w:rPr>
      <w:rFonts w:ascii="Arial" w:eastAsia="Arial" w:hAnsi="Arial" w:cs="Arial"/>
      <w:b w:val="0"/>
      <w:bCs w:val="0"/>
      <w:i w:val="0"/>
      <w:iCs w:val="0"/>
      <w:smallCaps w:val="0"/>
      <w:strike w:val="0"/>
      <w:sz w:val="48"/>
      <w:szCs w:val="48"/>
      <w:u w:val="none"/>
      <w:lang w:val="en-US" w:eastAsia="en-US"/>
    </w:rPr>
  </w:style>
  <w:style w:type="character" w:customStyle="1" w:styleId="CharStyle8">
    <w:name w:val="Body text (2)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0">
    <w:name w:val="Heading #1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66"/>
      <w:szCs w:val="66"/>
      <w:u w:val="none"/>
    </w:rPr>
  </w:style>
  <w:style w:type="character" w:customStyle="1" w:styleId="CharStyle12">
    <w:name w:val="Body text_"/>
    <w:basedOn w:val="DefaultParagraphFont"/>
    <w:link w:val="Style11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4">
    <w:name w:val="Body text (4)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17">
    <w:name w:val="Header or footer (2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9">
    <w:name w:val="Body text (3)_"/>
    <w:basedOn w:val="DefaultParagraphFont"/>
    <w:link w:val="Style18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2">
    <w:name w:val="Header or footer (3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5">
    <w:name w:val="Header or footer"/>
    <w:basedOn w:val="Normal"/>
    <w:link w:val="CharStyle6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8"/>
      <w:szCs w:val="48"/>
      <w:u w:val="none"/>
      <w:lang w:val="en-US" w:eastAsia="en-US"/>
    </w:rPr>
  </w:style>
  <w:style w:type="paragraph" w:customStyle="1" w:styleId="Style7">
    <w:name w:val="Body text (2)"/>
    <w:basedOn w:val="Normal"/>
    <w:link w:val="CharStyle8"/>
    <w:pPr>
      <w:widowControl w:val="0"/>
      <w:shd w:val="clear" w:color="auto" w:fill="auto"/>
      <w:bidi/>
      <w:spacing w:after="270"/>
      <w:ind w:left="124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9">
    <w:name w:val="Heading #1"/>
    <w:basedOn w:val="Normal"/>
    <w:link w:val="CharStyle10"/>
    <w:pPr>
      <w:widowControl w:val="0"/>
      <w:shd w:val="clear" w:color="auto" w:fill="auto"/>
      <w:bidi/>
      <w:spacing w:after="120"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6"/>
      <w:szCs w:val="66"/>
      <w:u w:val="none"/>
    </w:rPr>
  </w:style>
  <w:style w:type="paragraph" w:styleId="Style11">
    <w:name w:val="Body text"/>
    <w:basedOn w:val="Normal"/>
    <w:link w:val="CharStyle12"/>
    <w:qFormat/>
    <w:pPr>
      <w:widowControl w:val="0"/>
      <w:shd w:val="clear" w:color="auto" w:fill="auto"/>
      <w:bidi/>
      <w:spacing w:line="319" w:lineRule="auto"/>
      <w:ind w:firstLine="140"/>
      <w:jc w:val="left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3">
    <w:name w:val="Body text (4)"/>
    <w:basedOn w:val="Normal"/>
    <w:link w:val="CharStyle14"/>
    <w:pPr>
      <w:widowControl w:val="0"/>
      <w:shd w:val="clear" w:color="auto" w:fill="auto"/>
      <w:bidi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paragraph" w:customStyle="1" w:styleId="Style16">
    <w:name w:val="Header or footer (2)"/>
    <w:basedOn w:val="Normal"/>
    <w:link w:val="CharStyle17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8">
    <w:name w:val="Body text (3)"/>
    <w:basedOn w:val="Normal"/>
    <w:link w:val="CharStyle19"/>
    <w:pPr>
      <w:widowControl w:val="0"/>
      <w:shd w:val="clear" w:color="auto" w:fill="auto"/>
      <w:bidi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5.png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6.png" TargetMode="External"/><Relationship Id="rId17" Type="http://schemas.openxmlformats.org/officeDocument/2006/relationships/image" Target="media/image7.jpeg"/><Relationship Id="rId18" Type="http://schemas.openxmlformats.org/officeDocument/2006/relationships/image" Target="media/image7.jpeg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8.png" TargetMode="External"/></Relationships>
</file>