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1688" w:h="890" w:hRule="exact" w:wrap="none" w:vAnchor="page" w:hAnchor="page" w:x="5035" w:y="19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"/>
        </w:rPr>
        <w:t>i</w:t>
      </w:r>
    </w:p>
    <w:p>
      <w:pPr>
        <w:pStyle w:val="Style4"/>
        <w:keepNext w:val="0"/>
        <w:keepLines w:val="0"/>
        <w:framePr w:w="1779" w:h="477" w:hRule="exact" w:wrap="none" w:vAnchor="page" w:hAnchor="page" w:x="1691" w:y="217"/>
        <w:widowControl w:val="0"/>
        <w:shd w:val="clear" w:color="auto" w:fill="auto"/>
        <w:spacing w:before="0" w:after="0" w:line="240" w:lineRule="auto"/>
        <w:ind w:left="0" w:right="0" w:firstLine="0"/>
        <w:jc w:val="right"/>
        <w:rPr>
          <w:sz w:val="40"/>
          <w:szCs w:val="40"/>
        </w:rPr>
      </w:pPr>
      <w:r>
        <w:rPr>
          <w:rStyle w:val="CharStyle5"/>
          <w:sz w:val="40"/>
          <w:szCs w:val="40"/>
          <w:rtl/>
        </w:rPr>
        <w:t>التتائكالجاتلخللللؤزرغ</w:t>
      </w:r>
    </w:p>
    <w:p>
      <w:pPr>
        <w:pStyle w:val="Style7"/>
        <w:keepNext w:val="0"/>
        <w:keepLines w:val="0"/>
        <w:framePr w:w="2408" w:h="1284" w:hRule="exact" w:wrap="none" w:vAnchor="page" w:hAnchor="page" w:x="8373" w:y="126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textDirection w:val="btLr"/>
      </w:pPr>
      <w:r>
        <w:rPr>
          <w:rStyle w:val="CharStyle8"/>
        </w:rPr>
        <w:t>II</w:t>
      </w:r>
    </w:p>
    <w:p>
      <w:pPr>
        <w:pStyle w:val="Style4"/>
        <w:keepNext w:val="0"/>
        <w:keepLines w:val="0"/>
        <w:framePr w:w="2408" w:h="1284" w:hRule="exact" w:wrap="none" w:vAnchor="page" w:hAnchor="page" w:x="8373" w:y="1262"/>
        <w:widowControl w:val="0"/>
        <w:shd w:val="clear" w:color="auto" w:fill="auto"/>
        <w:spacing w:before="0" w:after="0" w:line="240" w:lineRule="auto"/>
        <w:ind w:left="0" w:right="0" w:firstLine="0"/>
        <w:jc w:val="center"/>
        <w:textDirection w:val="btLr"/>
        <w:rPr>
          <w:sz w:val="40"/>
          <w:szCs w:val="40"/>
        </w:rPr>
      </w:pPr>
      <w:r>
        <w:rPr>
          <w:rStyle w:val="CharStyle5"/>
          <w:sz w:val="40"/>
          <w:szCs w:val="40"/>
          <w:rtl/>
        </w:rPr>
        <w:t>لييجم</w:t>
      </w:r>
    </w:p>
    <w:p>
      <w:pPr>
        <w:framePr w:wrap="none" w:vAnchor="page" w:hAnchor="page" w:x="5301" w:y="1198"/>
        <w:widowControl w:val="0"/>
        <w:rPr>
          <w:sz w:val="2"/>
          <w:szCs w:val="2"/>
        </w:rPr>
      </w:pPr>
      <w:r>
        <w:drawing>
          <wp:inline>
            <wp:extent cx="716280" cy="81534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716280" cy="81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keepNext w:val="0"/>
        <w:keepLines w:val="0"/>
        <w:framePr w:w="10502" w:h="977" w:hRule="exact" w:wrap="none" w:vAnchor="page" w:hAnchor="page" w:x="494" w:y="1088"/>
        <w:widowControl w:val="0"/>
        <w:shd w:val="clear" w:color="auto" w:fill="auto"/>
        <w:spacing w:before="0" w:after="80" w:line="240" w:lineRule="auto"/>
        <w:ind w:left="7026" w:right="734" w:firstLine="0"/>
        <w:jc w:val="both"/>
        <w:rPr>
          <w:sz w:val="36"/>
          <w:szCs w:val="36"/>
        </w:rPr>
      </w:pPr>
      <w:r>
        <w:rPr>
          <w:rStyle w:val="CharStyle10"/>
          <w:sz w:val="36"/>
          <w:szCs w:val="36"/>
          <w:rtl/>
        </w:rPr>
        <w:t>قرار رقم: (٨٣)</w:t>
      </w:r>
    </w:p>
    <w:p>
      <w:pPr>
        <w:pStyle w:val="Style9"/>
        <w:keepNext w:val="0"/>
        <w:keepLines w:val="0"/>
        <w:framePr w:w="10502" w:h="977" w:hRule="exact" w:wrap="none" w:vAnchor="page" w:hAnchor="page" w:x="494" w:y="1088"/>
        <w:widowControl w:val="0"/>
        <w:shd w:val="clear" w:color="auto" w:fill="auto"/>
        <w:spacing w:before="0" w:after="0" w:line="240" w:lineRule="auto"/>
        <w:ind w:left="7026" w:right="734" w:firstLine="0"/>
        <w:jc w:val="both"/>
        <w:rPr>
          <w:sz w:val="36"/>
          <w:szCs w:val="36"/>
        </w:rPr>
      </w:pPr>
      <w:r>
        <w:rPr>
          <w:rStyle w:val="CharStyle10"/>
          <w:sz w:val="36"/>
          <w:szCs w:val="36"/>
          <w:rtl/>
        </w:rPr>
        <w:t>وتاريخ: ١٤٤٧/١/٢٧ه</w:t>
      </w:r>
    </w:p>
    <w:p>
      <w:pPr>
        <w:pStyle w:val="Style9"/>
        <w:keepNext w:val="0"/>
        <w:keepLines w:val="0"/>
        <w:framePr w:w="10502" w:h="8218" w:hRule="exact" w:wrap="none" w:vAnchor="page" w:hAnchor="page" w:x="494" w:y="3463"/>
        <w:widowControl w:val="0"/>
        <w:shd w:val="clear" w:color="auto" w:fill="auto"/>
        <w:spacing w:before="0" w:after="80" w:line="240" w:lineRule="auto"/>
        <w:ind w:left="0" w:right="0" w:firstLine="0"/>
        <w:jc w:val="left"/>
        <w:rPr>
          <w:sz w:val="36"/>
          <w:szCs w:val="36"/>
        </w:rPr>
      </w:pPr>
      <w:r>
        <w:rPr>
          <w:rStyle w:val="CharStyle10"/>
          <w:sz w:val="36"/>
          <w:szCs w:val="36"/>
          <w:rtl/>
        </w:rPr>
        <w:t>إن مجلس الوزراء</w:t>
      </w:r>
    </w:p>
    <w:p>
      <w:pPr>
        <w:pStyle w:val="Style4"/>
        <w:keepNext w:val="0"/>
        <w:keepLines w:val="0"/>
        <w:framePr w:w="10502" w:h="8218" w:hRule="exact" w:wrap="none" w:vAnchor="page" w:hAnchor="page" w:x="494" w:y="3463"/>
        <w:widowControl w:val="0"/>
        <w:shd w:val="clear" w:color="auto" w:fill="auto"/>
        <w:spacing w:before="0" w:after="0"/>
        <w:ind w:left="0" w:right="0" w:firstLine="760"/>
        <w:jc w:val="both"/>
      </w:pPr>
      <w:r>
        <w:rPr>
          <w:rStyle w:val="CharStyle5"/>
          <w:rtl/>
        </w:rPr>
        <w:t>بعد الاطلاع في جلسته المنعقدة برئاسة خادم الحرمين الشريفين الملك مسلمان بن عبدالعزيز آل سعود، على المعاملة الواردة من الديوان الملكي برقم ٥٧٥٧١ وتاريخ ١٤٤٦/٨/٩ه، المشتملة على خطاب اللجنة الدائمة لمكافحة غسل الأموال رقم ١٠٦٨٨٤٥٦١ وتاريخ ١٤٤٦/٨/٣م، في شأن طلب الموافقة على ضم المركز الوطني لعثمية القعاع غير الربحي إلى عضوية اللجنة الدائمة لمكافحة غسل الأموال.</w:t>
      </w:r>
    </w:p>
    <w:p>
      <w:pPr>
        <w:pStyle w:val="Style4"/>
        <w:keepNext w:val="0"/>
        <w:keepLines w:val="0"/>
        <w:framePr w:w="10502" w:h="8218" w:hRule="exact" w:wrap="none" w:vAnchor="page" w:hAnchor="page" w:x="494" w:y="3463"/>
        <w:widowControl w:val="0"/>
        <w:shd w:val="clear" w:color="auto" w:fill="auto"/>
        <w:spacing w:before="0" w:after="0" w:line="343" w:lineRule="auto"/>
        <w:ind w:left="0" w:right="0" w:firstLine="760"/>
        <w:jc w:val="both"/>
      </w:pPr>
      <w:r>
        <w:rPr>
          <w:rStyle w:val="CharStyle5"/>
          <w:rtl/>
        </w:rPr>
        <w:t>وبعد الاطلاع على قراري مجلس الونداء رتم (١٥) وتاريخ ١٤٢٠/١/١٧ه، ودقم (٢٧٨) وتاريخ ١٤٢٢/١١/١٤م</w:t>
      </w:r>
    </w:p>
    <w:p>
      <w:pPr>
        <w:pStyle w:val="Style4"/>
        <w:keepNext w:val="0"/>
        <w:keepLines w:val="0"/>
        <w:framePr w:w="10502" w:h="8218" w:hRule="exact" w:wrap="none" w:vAnchor="page" w:hAnchor="page" w:x="494" w:y="3463"/>
        <w:widowControl w:val="0"/>
        <w:shd w:val="clear" w:color="auto" w:fill="auto"/>
        <w:spacing w:before="0" w:after="0" w:line="360" w:lineRule="auto"/>
        <w:ind w:left="0" w:right="0" w:firstLine="760"/>
        <w:jc w:val="both"/>
      </w:pPr>
      <w:r>
        <w:rPr>
          <w:rStyle w:val="CharStyle5"/>
          <w:rtl/>
        </w:rPr>
        <w:t>وبعد الاطلاع على المدكرة رئم (٣١٢٨) وتاريخ ٤٦/٩/١٦ ١٤ه، المعدة في ميئة الخبراء بمجلس الوزراء.</w:t>
      </w:r>
    </w:p>
    <w:p>
      <w:pPr>
        <w:pStyle w:val="Style4"/>
        <w:keepNext w:val="0"/>
        <w:keepLines w:val="0"/>
        <w:framePr w:w="10502" w:h="8218" w:hRule="exact" w:wrap="none" w:vAnchor="page" w:hAnchor="page" w:x="494" w:y="3463"/>
        <w:widowControl w:val="0"/>
        <w:shd w:val="clear" w:color="auto" w:fill="auto"/>
        <w:spacing w:before="0" w:after="0" w:line="331" w:lineRule="auto"/>
        <w:ind w:left="0" w:right="0" w:firstLine="760"/>
        <w:jc w:val="both"/>
      </w:pPr>
      <w:r>
        <w:rPr>
          <w:rStyle w:val="CharStyle5"/>
          <w:rtl/>
        </w:rPr>
        <w:t>وبعد الاطلاع على المحضر المعد في مجلس الشؤعن الاقتصادية والسمية رتم (٤٦/١٥٦٤) وتاريخ ٠٠١٤٤٦/١٠/١٠</w:t>
      </w:r>
    </w:p>
    <w:p>
      <w:pPr>
        <w:pStyle w:val="Style4"/>
        <w:keepNext w:val="0"/>
        <w:keepLines w:val="0"/>
        <w:framePr w:w="10502" w:h="8218" w:hRule="exact" w:wrap="none" w:vAnchor="page" w:hAnchor="page" w:x="494" w:y="3463"/>
        <w:widowControl w:val="0"/>
        <w:shd w:val="clear" w:color="auto" w:fill="auto"/>
        <w:spacing w:before="0" w:after="0" w:line="307" w:lineRule="auto"/>
        <w:ind w:left="0" w:right="0" w:firstLine="760"/>
        <w:jc w:val="both"/>
      </w:pPr>
      <w:r>
        <w:rPr>
          <w:rStyle w:val="CharStyle5"/>
          <w:rtl/>
        </w:rPr>
        <w:t>وبعد الاطلاع على توصية اللجنة العامة لمجلس الوزراء رقم (١٠٩٩٤) وتاريخ ١٤٤٦/١١/١٢م.</w:t>
      </w:r>
    </w:p>
    <w:p>
      <w:pPr>
        <w:pStyle w:val="Style9"/>
        <w:keepNext w:val="0"/>
        <w:keepLines w:val="0"/>
        <w:framePr w:w="10502" w:h="2293" w:hRule="exact" w:wrap="none" w:vAnchor="page" w:hAnchor="page" w:x="494" w:y="11810"/>
        <w:widowControl w:val="0"/>
        <w:shd w:val="clear" w:color="auto" w:fill="auto"/>
        <w:spacing w:before="0" w:after="0" w:line="353" w:lineRule="auto"/>
        <w:ind w:left="0" w:right="0" w:firstLine="0"/>
        <w:jc w:val="center"/>
      </w:pPr>
      <w:r>
        <w:rPr>
          <w:rStyle w:val="CharStyle10"/>
          <w:rtl/>
        </w:rPr>
        <w:t>يعر</w:t>
      </w:r>
    </w:p>
    <w:p>
      <w:pPr>
        <w:pStyle w:val="Style9"/>
        <w:keepNext w:val="0"/>
        <w:keepLines w:val="0"/>
        <w:framePr w:w="10502" w:h="2293" w:hRule="exact" w:wrap="none" w:vAnchor="page" w:hAnchor="page" w:x="494" w:y="11810"/>
        <w:widowControl w:val="0"/>
        <w:shd w:val="clear" w:color="auto" w:fill="auto"/>
        <w:spacing w:before="0" w:after="0" w:line="353" w:lineRule="auto"/>
        <w:ind w:left="0" w:right="0" w:firstLine="760"/>
        <w:jc w:val="both"/>
      </w:pPr>
      <w:r>
        <w:rPr>
          <w:rStyle w:val="CharStyle10"/>
          <w:rtl/>
        </w:rPr>
        <w:t>الموافقة على ضم المركز الوطني لتنمية القطاع غير الربحي إلى عضوية اللجنة الدائمة لمكافحة غسل الاموال، المشكلة بناء على الفقرة (٢) من قرار مجلس الوزراء رتم (١٥) وتاريخ ١٤٢٠/١/١٧م.</w:t>
      </w:r>
    </w:p>
    <w:p>
      <w:pPr>
        <w:pStyle w:val="Style9"/>
        <w:keepNext w:val="0"/>
        <w:keepLines w:val="0"/>
        <w:framePr w:w="10502" w:h="495" w:hRule="exact" w:wrap="none" w:vAnchor="page" w:hAnchor="page" w:x="494" w:y="15745"/>
        <w:widowControl w:val="0"/>
        <w:shd w:val="clear" w:color="auto" w:fill="auto"/>
        <w:spacing w:before="0" w:after="0" w:line="240" w:lineRule="auto"/>
        <w:ind w:left="0" w:right="0" w:firstLine="0"/>
        <w:jc w:val="both"/>
        <w:rPr>
          <w:sz w:val="32"/>
          <w:szCs w:val="32"/>
        </w:rPr>
      </w:pPr>
      <w:r>
        <w:rPr>
          <w:rStyle w:val="CharStyle10"/>
          <w:b/>
          <w:bCs/>
          <w:sz w:val="32"/>
          <w:szCs w:val="32"/>
          <w:rtl/>
        </w:rPr>
        <w:t>مسد . مقي أللتي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Body text (4)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76"/>
      <w:szCs w:val="76"/>
      <w:u w:val="none"/>
      <w:lang w:val="en-US" w:eastAsia="en-US"/>
    </w:rPr>
  </w:style>
  <w:style w:type="character" w:customStyle="1" w:styleId="CharStyle5">
    <w:name w:val="Body text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character" w:customStyle="1" w:styleId="CharStyle8">
    <w:name w:val="Body text (3)_"/>
    <w:basedOn w:val="DefaultParagraphFont"/>
    <w:link w:val="Style7"/>
    <w:rPr>
      <w:rFonts w:ascii="Arial" w:eastAsia="Arial" w:hAnsi="Arial" w:cs="Arial"/>
      <w:b w:val="0"/>
      <w:bCs w:val="0"/>
      <w:i w:val="0"/>
      <w:iCs w:val="0"/>
      <w:smallCaps w:val="0"/>
      <w:strike w:val="0"/>
      <w:sz w:val="312"/>
      <w:szCs w:val="312"/>
      <w:u w:val="none"/>
      <w:lang w:val="en-US" w:eastAsia="en-US"/>
    </w:rPr>
  </w:style>
  <w:style w:type="character" w:customStyle="1" w:styleId="CharStyle10">
    <w:name w:val="Body text (2)_"/>
    <w:basedOn w:val="DefaultParagraphFont"/>
    <w:link w:val="Style9"/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2">
    <w:name w:val="Body text (4)"/>
    <w:basedOn w:val="Normal"/>
    <w:link w:val="CharStyle3"/>
    <w:pPr>
      <w:widowControl w:val="0"/>
      <w:shd w:val="clear" w:color="auto" w:fill="auto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76"/>
      <w:szCs w:val="76"/>
      <w:u w:val="none"/>
      <w:lang w:val="en-US" w:eastAsia="en-US"/>
    </w:rPr>
  </w:style>
  <w:style w:type="paragraph" w:styleId="Style4">
    <w:name w:val="Body text"/>
    <w:basedOn w:val="Normal"/>
    <w:link w:val="CharStyle5"/>
    <w:qFormat/>
    <w:pPr>
      <w:widowControl w:val="0"/>
      <w:shd w:val="clear" w:color="auto" w:fill="auto"/>
      <w:bidi/>
      <w:spacing w:line="326" w:lineRule="auto"/>
      <w:ind w:firstLine="40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paragraph" w:customStyle="1" w:styleId="Style7">
    <w:name w:val="Body text (3)"/>
    <w:basedOn w:val="Normal"/>
    <w:link w:val="CharStyle8"/>
    <w:pPr>
      <w:widowControl w:val="0"/>
      <w:shd w:val="clear" w:color="auto" w:fill="auto"/>
      <w:ind w:left="-140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12"/>
      <w:szCs w:val="312"/>
      <w:u w:val="none"/>
      <w:lang w:val="en-US" w:eastAsia="en-US"/>
    </w:rPr>
  </w:style>
  <w:style w:type="paragraph" w:customStyle="1" w:styleId="Style9">
    <w:name w:val="Body text (2)"/>
    <w:basedOn w:val="Normal"/>
    <w:link w:val="CharStyle10"/>
    <w:pPr>
      <w:widowControl w:val="0"/>
      <w:shd w:val="clear" w:color="auto" w:fill="auto"/>
      <w:bidi/>
      <w:spacing w:after="800" w:line="295" w:lineRule="auto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/Relationships>
</file>