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تملك مواطني دول المجلس للعقار في الدول الأعضاء بمجلس التعاون لغرض السكن والاستثمار</w:t>
        <w:br/>
        <w:t>1432 هـ</w:t>
        <w:br/>
        <w:t>بسم الله الرحمن الرحيم</w:t>
        <w:br/>
        <w:t>مرسوم ملكي رقم م / 22 بتاريخ 3 / 4 / 1432</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 ٨ / ١٤١٢ هـ.</w:t>
        <w:br/>
        <w:t>وبناء على المادة (العشرين) من نظام مجلس الوزراء، الصادر بالأمر الملكي رقم (أ/١٣) بتاريخ ٣ / ٣ / ١٤١٤ هـ.</w:t>
        <w:br/>
        <w:t>وبناء على المادة (الثامنة عشرة) من نظام مجلس الشورى، الصادر بالأمر الملكي رقم (أ/٩١) بتاريخ ٢٧ / ٨ / ١٤١٢ هـ.</w:t>
        <w:br/>
        <w:t>وبعد الاطلاع على المرسوم الملكي رقم (م/٨) بتاريخ ١٥ / ٢ / ١٤٢٢ هـ، الصادر بالموافقة على تعديل تنظيم تملك مواطني دول مجلس التعاون لدول الخليج العربية للعقار في الدول الأعضاء.</w:t>
        <w:br/>
        <w:t>وبعد الاطلاع على قرار مجلس الشورى رقم (٤١ / ٣٦) بتاريخ ٣ / ٩ / ١٤٢٥ هـ.</w:t>
        <w:br/>
        <w:t>وبعد الاطلاع على قرار مجلس الوزراء رقم (٩١) بتاريخ ٢ / ٤ / ١٤٣٢ هـ.</w:t>
        <w:br/>
        <w:t>رسمنا بما هو آت:</w:t>
        <w:br/>
        <w:t>أولًا : الموافقة على تنظيم تملك مواطني دول المجلس للعقار في الدول الأعضاء بمجلس التعاون لغرض السكن والاستثمار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w:t>
        <w:br/>
        <w:t>بسم الله الرحمن الرحيم</w:t>
        <w:br/>
        <w:t>قرار مجلس الوزراء رقم 91 بتاريخ 2 / 4 / 1432</w:t>
        <w:br/>
        <w:t>إن مجلس الوزراء</w:t>
        <w:br/>
        <w:t>بعد الاطلاع على المعاملة الواردة من ديوان رئاسة مجلس الوزراء برقم ٦١٢/ب وتاريخ ٦ / ١ / ١٤٣٢ هـ، المشتملة على برقية صاحب السمو الملكي وزير الخارجية رقم ٩٦ / ٣٤ / ١٠٩١٩٢ وتاريخ ٢٣ / ٧ / ١٤٢٤ هـ، في شأن تنظيم تملك مواطني دول المجلس للعقار في الدول الأعضاء لمجلس التعاون لغرض السكن والاستثمار المعتمد بقرار المجلس الأعلى لمجلس التعاون في دورته (الثالثة والعشرين).</w:t>
        <w:br/>
        <w:t>وبعد الاطلاع على المرسوم الملكي رقم (م/٥٨) وتاريخ ١٥ / ٨ / ١٤٢٤ هـ، الصادر بالموافقة على الاتفاقية الاقتصادية بين دول مجلس التعاون لدول الخليج العربية .</w:t>
        <w:br/>
        <w:t>وبعد الاطلاع على المرسوم الملكي رقم (م/٨) وتاريخ ١٥ / ٢ / ١٤٢٢ هـ الصادر بالموافقة على تعديل تنظيم تملك مواطني دول مجلس التعاون لدول الخليج العربية للعقار في الدول الأعضاء وبعد النظر في قرار مجلس الشورى رقم (٤١ /٣٦) وتاريخ ٣ / ٩ / ١٤٢٥ هـ.</w:t>
        <w:br/>
        <w:t>وبعد الاطلاع على مذكرتي هيئة الخبراء بمجلس الوزراء رقم (٤) وتاريخ ٥ / ١ / ١٤٢٥ هـ، ورقم (٤٤٣) وتاريخ ١٤ / ١١ / ١٤٢٨ هـ.</w:t>
        <w:br/>
        <w:t>وبعد الاطلاع على المحاضر رقم (٤٩٠) وتاريخ ٢٨ / ١٢ / ١٤٢٣ هـ، ورقم (٣٣٦) وتاريخ ١٩ / ١٠ / ١٤٢٤ هـ، ورقم (٤٤٢) وتاريخ ١٤ / ١١ / ١٤٢٨ هـ، ورقم (٤٦١) وتاريخ ٢١ / ١١ / ١٤٢٨ هـ، ورقم (٣٢٢) وتاريخ ٩ / ٧ / ١٤٢٩ هـ، ورقم (٣٧١) وتاريخ ١٨ / ٨ / ١٤٢٩ هـ، ورقم (١٤٠) وتاريخ ١٨ / ٣ / ١٤٣٠ هـ، المعدة في هيئة الخبراء بمجلس الوزراء.</w:t>
        <w:br/>
        <w:t>وبعد الاطلاع على توصية اللجنة العامة لمجلس الوزراء رقم (٩٠) وتاريخ ٦ / ٢ / ١٤٣٢ هـ.</w:t>
        <w:br/>
        <w:t>يقرر</w:t>
        <w:br/>
        <w:t>الموافقة على تنظيم تملك مواطني دول المجلس للعقار في الدول الأعضاء بمجلس التعاون لغرض السكن والاستثمار بالصيغة المرافقة.</w:t>
        <w:br/>
        <w:t>وقد أعد مشروع مرسوم ملكي بذلك، صيغته مرافقة لهذا.</w:t>
        <w:br/>
        <w:t>رئيس مجلس الوزراء</w:t>
        <w:br/>
        <w:t>تنظيم تملك مواطني دول المجلس للعقار في الدول الأعضاء بمجلس التعاون لغرض السكن والاستثمار</w:t>
        <w:br/>
        <w:t>(المادة الأولى)</w:t>
        <w:br/>
        <w:t>يسمح لمواطني  دول مجلس التعاون    من الأشخاص الطبيعيين أو الاعتباريين (المملوكين بالكامل لمواطني  دول مجلس التعاون    ) باستئجار وتملك العقارات المبنية والأراضي لغرض السكن أو الاستثمار في أية دولة عضو بإحدى طرق التملك المقررة قانونًا (نظامًا) أو بالوصية أو الميراث، ويعاملون في هذا الشأن معاملة مواطني الدولة التي يقع فيها العقار.</w:t>
        <w:br/>
        <w:t>(المادة الثانية)</w:t>
        <w:br/>
        <w:t>إذا كان العقار أرضًا فيجب أن يستكمل بناؤها أو استغلالها خلال أربع سنوات من تاريخ تسجيلها باسمه، وإلا كان للدولة التي يقع فيها العقار حق التصرف بالأرض مع تعويض المالك بنفس ثمنها وقت شرائها أو ثمنها حين بيعها أيهما أقل مع حفظ حقه بالتظلم أمام الجهة المختصة بالدولة. وللدولة أن تمدد المدة المذكورة إذا اقتنعت بأسباب تأخر المالك عن تلك المدة.</w:t>
        <w:br/>
        <w:t>(المادة الثالثة)</w:t>
        <w:br/>
        <w:t>يجوز للمالك التصرف في العقار المبني في أي وقت، أما إذا كان أرضا فيجوز التصرف فيها من تاريخ استكمال بنائها أو استغلالها أو مرور أربع سنوات من تاريخ تسجيلها باسمه، ويجوز استثناء التصرف فيها قبل ذلك بشرط الحصول على إذن من الجهة المختصة في الدولة.</w:t>
        <w:br/>
        <w:t>(المادة الرابعة)</w:t>
        <w:br/>
        <w:t>لا يتعارض هذا التنظيم مع  حق الدولة    التي يقع فيها العقار في نزع ملكيته للمنفعة العامة مقابل تعويض عادل للمالك طبقًا للقوانين (الأنظمة) التي تعامل بها مواطنيها.</w:t>
        <w:br/>
        <w:t>كما لا يتعارض هذا التنظيم مع  حق الدولة    في حضر التملك أو الانتفاع في مناطق أو مواقع معينة، وتستثني – بناء عليه – العقارات الواقعة داخل مكة المكرمة والمدينة المنورة من أحكام هذا التنظيم.</w:t>
        <w:br/>
        <w:t>(المادة الخامسة)</w:t>
        <w:br/>
        <w:t>لا يخل هذا التنظيم بأية حقوق أفضل سارية وقت إقراره أو التي تمنحها كل أو بعض الدول الأعضاء في المستقبل.</w:t>
        <w:br/>
        <w:t>(المادة السادسة)</w:t>
        <w:br/>
        <w:t>1 - يحل هذا التنظيم محل التنظيم المقر في الدورة العشرين للمجلس الأعلى.</w:t>
        <w:br/>
        <w:t>2 - يطبق هذا التنظيم بعد ثلاثة أشهر من موافقة المجلس الأعلى عليه، وتجري مراجعته بهدف تطويره وتحسينه بعد ثلاث سنوات من بدء تطبيقه.</w:t>
        <w:br/>
        <w:t>3 -  للجنة التعاون المالي والاقتصادي    حق تفسير مواد هذا التنظيم.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