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البيانات التجارية</w:t>
        <w:br/>
        <w:t>1423 هـ</w:t>
        <w:br/>
        <w:t>بسم الله الرحمن الرحيم</w:t>
        <w:br/>
        <w:t>مرسوم ملكي رقم م/15 بتاريخ 14 / 4 / 1423</w:t>
        <w:br/>
        <w:t>بعون الله تعالى</w:t>
        <w:br/>
        <w:t>باسم خادم الحرمين الشريفين الملك فهد بن عبد العزيز آل سعود</w:t>
        <w:br/>
        <w:t>نحن عبد الله بن عبد العزيز آل سعود</w:t>
        <w:br/>
        <w:t>نائب ملك المملكة العربية السعودية</w:t>
        <w:br/>
        <w:t>بناء على الأمر الملكي رقم (أ/٢٥) وتاريخ ٨ / ٣ / ١٤٢٣ هـ.</w:t>
        <w:br/>
        <w:t>وبناء على المادة (السبعين) من النظام الأساسي للحكم الصادر بالأمر الملكي رقم (أ/٩٠) وتاريخ ٢٧ / ٨ / ١٤١٢ هـ.</w:t>
        <w:br/>
        <w:t>وبناء على المادة (العشرين) من نظام مجلس الوزراء الصادر بالأمر الملكي رقم (أ/١٣) وتاريخ ٣ / ٣ / ١٤١٤ هـ.</w:t>
        <w:br/>
        <w:t>وبناء على المادة (الثامنة عشرة) من نظام مجلس الشورى الصادر بالأمر الملكي رقم (أ/٩١) وتاريخ ٢٧ / ٨ / ١٤١٢ هـ.</w:t>
        <w:br/>
        <w:t>وبعد الاطلاع على قرار مجلس الشورى رقم (٧٢ /٦٨) وتاريخ ٨ / ١ / ١٤٢٢ هـ.</w:t>
        <w:br/>
        <w:t>وبعد الاطلاع على قرار مجلس الوزراء رقم (٩٤) وتاريخ ١٣ / ٤ / ١٤٢٣ هـ.</w:t>
        <w:br/>
        <w:t>رسمنا بما هو آت:</w:t>
        <w:br/>
        <w:t>أولًا: الموافقة على نظام البيانات التجارية بالصيغة المرافقة لهذا.</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94 بتاريخ 13 / 4 / 1423</w:t>
        <w:br/>
        <w:t>إن مجلس الوزراء</w:t>
        <w:br/>
        <w:t>بعد الاطلاع على المعاملة الواردة من ديوان رئاسة مجلس الوزراء برقم ٧ /٧٥٠٩/ر وتاريخ ٢٦ / ٥ / ١٤١٩ هـ، المشتملة على خطاب معالي وزير التجارة رقم ١٦٨/م.و وتاريخ ١٢ / ٣ / ١٤١٩ هـ، بشأن مشروع نظام البيانات التجارية.</w:t>
        <w:br/>
        <w:t>وبعد النظر في قرار مجلس الشورى رقم (٧٢ /٦٨) وتاريخ ٨ / ١ / ١٤٢٢ هـ.</w:t>
        <w:br/>
        <w:t>وبعد الاطلاع على المحاضر رقم (٣١٩) وتاريخ ٢٢ / ١٠ / ١٤٢٠ هـ ورقم (٢٣٩) وتاريخ ٢٢ / ٥ / ١٤٢٢ هـ ورقم (٣٦٦) وتاريخ ٢٦ / ٨ / ١٤٢٢ هـ المعدة في هيئة الخبراء.</w:t>
        <w:br/>
        <w:t>وبعد الاطلاع على توصية اللجنة العامة لمجلس الوزراء رقم (١٥) وتاريخ ٤ / ١ / ١٤٢٣ هـ.</w:t>
        <w:br/>
        <w:t>يُقرِّر</w:t>
        <w:br/>
        <w:t>الموافقة على نظام البيانات التجارية بالصيغة المرافقة.</w:t>
        <w:br/>
        <w:t>وقد أعد مشروع مرسوم ملكي بذلك صيغته مرافقة لهذا.</w:t>
        <w:br/>
        <w:t>نائب رئيس مجلس الوزراء</w:t>
        <w:br/>
        <w:t>نظام البيانات التجارية</w:t>
        <w:br/>
        <w:t>المادة الأولى:</w:t>
        <w:br/>
        <w:t>يعد بيانا تجاريا - فيما يختص بتطبيق أحكام هذا النظام - كل إيضاح يتعلق بصفة مباشرة أو غير مباشرة بما يأتي:</w:t>
        <w:br/>
        <w:t>أ - عدد البضائع، أو مقدارها، أو مقاسها، أو كيلها، أو طاقتها، أو وزنها، أو تاريخ الإنتاج، أو تاريخ انتهاء الصلاحية</w:t>
        <w:br/>
        <w:t>ب- الجهة ، أو البلاد التي صنعت أو أنتجت فيها.</w:t>
        <w:br/>
        <w:t>ج- العناصر الداخلة في تركيبها.</w:t>
        <w:br/>
        <w:t>د- اسم المنتج أو الصانع ، أو صفاته.</w:t>
        <w:br/>
        <w:t>هـ- وجودء براءات اختراع أو غيرها من حقوق الملكية الصناعية أو أي امتيازات أو جوائز أو مميزات تجارية أو صناعية.</w:t>
        <w:br/>
        <w:t>و- الاسم أو الشكل الذي تعرف به بعض البضائع أو تقوم به عادة.</w:t>
        <w:br/>
        <w:t>تعديلات المادة</w:t>
        <w:br/>
        <w:t>المادة الأولى:</w:t>
        <w:br/>
        <w:t>تم تعديل الفقرة ( أ ) من هذه المادة بموجب المرسوم الملكي رقم (م/11) وتاريخ 7 / 2 / 1427 هـ ،</w:t>
        <w:br/>
        <w:t>لتصبح على النحو التالى :</w:t>
        <w:br/>
        <w:t>" أ - عدد البضائع، أو مقدارها، أو مقاسها، أو كيلها، أو طاقتها، أو وزنها، أو سعرها، أو تاريخ الإنتاج ، أو تاريخ انتهاء الصلاحية " .</w:t>
        <w:br/>
        <w:t>المادة الثانية:</w:t>
        <w:br/>
        <w:t>يجب أن يكون</w:t>
        <w:br/>
        <w:t>البيان التجاري</w:t>
        <w:br/>
        <w:t>مكتوبا باللغة العربية على الأقل، ومطابقا للحقيقة من جميع الوجوه، سواء أكان موضوعا على المنتجات ذاتها أم على المحال، أو المخازن، أو على عناوينها، أو الأغلفة، أو الفواتير، أو أوراق الخطابات، أو وسائل الإعلان أو غير ذلك مما يستعمل في عرض البضائع على الجمهور.</w:t>
        <w:br/>
        <w:t>المادة الثالثة:</w:t>
        <w:br/>
        <w:t>لا يجوز ذكر ميداليات أو دبلومات أو جوائز أو درجات فخرية من أي نوع إلا بالنسبة للمنتجات التي تنطبق عليها هذه المميزات، وبالنسبة للأشخاص والأسماء التجارية الذين اكتسبوها أو لمن آلت إليهم حقوقها، ويجب أن يشتمل ذلك على بيان صحيح بتاريخها، ونوعها، والجهة التي منحتها. ولا يجوز لمن اشترك مع آخرين في عرض منتجات أن يستعمل لمنتجاته الخاصة المميزات التي منحت للمعروضات المشتركة، ما لم يبين بطريقة واضحة مصدر تلك المميزات ونوعها.</w:t>
        <w:br/>
        <w:t>المادة الرابعة:</w:t>
        <w:br/>
        <w:t>لا يجوز وضع اسم البائع أو عنوانه على منتجات واردة من بلد غير البلد الذي يحصل فيها البيع، ما لم يكن مقترنا ببيان دقيق مكتوب بحروف ظاهرة عن البلد أو الجهة التي صنع أو أنتج فيها. ولا يجوز للأشخاص المقيمين في جهة ذات شهرة خاصة في إنتاج بعض المنتجات أو صنعها من الذين يتجرون في منتجات مشابهة واردة من جهة أخرى- أن يضعوا عليها علاماتهم إذا كان من شأنها أن تضلل الجمهور فيما يتعلق بمصدر تلك المنتجات حتى ولو كانت العلامات لا تشتمل على أسماء هؤلاء الأشخاص أو عناوينهم، ما لم تتخذ التدابير الكفيلة بمنع كل لبس.</w:t>
        <w:br/>
        <w:t>المادة الخامسة:</w:t>
        <w:br/>
        <w:t>لا يجوز للصانع أن يستعمل اسم الجهة التي يوجد له بها مصنع رئيس فيما يصنع لحسابه من منتجات في جهة أخرى، ما لم يقترن هذا الاسم ببيان الجهة الأخرى على وجه يمتنع معه كل لبس.</w:t>
        <w:br/>
        <w:t>المادة السادسة:</w:t>
        <w:br/>
        <w:t>إذا كان مقدار المنتجات أو مقاسها أو كيلها أو طاقتها أو وزنها أو مصدرها أو العناصر الداخلة في تركيبها من العوامل التي لها دخل في تقدير قيمتها جاز بقرار يصدر من</w:t>
        <w:br/>
        <w:t>وزيرالتجارة</w:t>
        <w:br/>
        <w:t>منع استيراد تلك المنتجات أو بيعها، أو عرضها للبيع، ما لم تحمل بيانا أو أكثر من هذه البيانات. وتحدد بقرار يصدر من</w:t>
        <w:br/>
        <w:t>وزيرالتجارة</w:t>
        <w:br/>
        <w:t>الكيفية التي توضع بها البيانات على المنتجات والإجراءات التي يستعاض بها عند عدم إمكانية ذلك.</w:t>
        <w:br/>
        <w:t>المادة السابعة:</w:t>
        <w:br/>
        <w:t>مع عدم الإخلال بأي عقوبة أشد يعاقب من يخالف أحكام هذا النظام بغرامة مالية لا تزيد على مائة ألف ريال، وفي حالة العود تضاعف العقوبة مع غلق المحل لمدة لا تزيد على سنة.</w:t>
        <w:br/>
        <w:t>المادة الثامنة:</w:t>
        <w:br/>
        <w:t>يتولى موظفو وزارة التجارة المختصون ضبط ما يقع من مخالفات لأحكام هذا النظام.</w:t>
        <w:br/>
        <w:t>المادة التاسعة:</w:t>
        <w:br/>
        <w:t>تختص</w:t>
        <w:br/>
        <w:t>هيئة التحقيق والادعاء العام</w:t>
        <w:br/>
        <w:t>بالتحقيق فيما يقع من مخالفات لأحكام هذا النظام والادعاء فيها أمام الجهة القضائية المختصة.</w:t>
        <w:br/>
        <w:t>المادة العاشرة:</w:t>
        <w:br/>
        <w:t>يختص</w:t>
        <w:br/>
        <w:t>ديوان المظالم</w:t>
        <w:br/>
        <w:t>بالفصل في المخالفات والمنازعات الناشئة عن تطبيق أحكام هذا النظام.</w:t>
        <w:br/>
        <w:t>المادة الحادية عشرة:</w:t>
        <w:br/>
        <w:t>يجوز</w:t>
        <w:br/>
        <w:t>لديوان المظالم</w:t>
        <w:br/>
        <w:t>أن يحكم بمصادرة الأشياء المحجوزة، وبيع ما يمكن بيعه منها، وخصم قيمته من التعويضات والغرامات التي قد يحكم بها، وبإتلاف الباقي منها، أو التصرف فيه بأي طريقة يراها مناسبة. كما يجوز للديوان أن يحكم بنشر القرار الصادر بالإدانة أو المصادرة أو الإتلاف في إحدى الصحف اليومية الصادرة في منطقة إقامة المحكوم عليه وعلى نفقته.</w:t>
        <w:br/>
        <w:t>تعديلات المادة</w:t>
        <w:br/>
        <w:t>المادة الحادية عشرة:</w:t>
        <w:br/>
        <w:t>عُدلت المادة (الحادية عشرة) لتكون بالنص الآتي:</w:t>
        <w:br/>
        <w:t>"يجوز للمحكمة المختصة أن تحكم بمصادرة الأشياء المحجوزة، وبيع ما يمكن بيعه منها، وخصم قيمته من التعويضات والغرامات التي قد يحكم بها، وبإتلاف الباقي منها، أو التصرف فيه بأي طريقة تراها مناسبة.</w:t>
        <w:br/>
        <w:t>يجوز للمحكمة المختصة تضمين الحكم - الصادر بالإدانة - النص على نشر ملخصه على نفقة المخالف في إحدى الصحف المحلية، أو في أي وسيلة أخرى مناسبة، وذلك بحسب نوع المخالفة المرتكبة وجسامتها وتأثيرها، على أن يكون النشر بعد اكتساب الحكم الصفة النهائية".</w:t>
        <w:br/>
        <w:t>المادة الثانية عشرة:</w:t>
        <w:br/>
        <w:t>دون إخلال بحق ذوي الشأن في المطالبة بالتعويض عن الأضرار الناشئة عن استخدام بيانات غير مطابقة للحقيقة، يجوز لهم في أي وقت، ولو كان ذلك قبل رفع أي دعوى، اللجوء إلى</w:t>
        <w:br/>
        <w:t>ديوان المظالم</w:t>
        <w:br/>
        <w:t>لاتخاذ الإجراءات التحفظية اللازمة.</w:t>
        <w:br/>
        <w:t>المادة الثالثة عشرة:</w:t>
        <w:br/>
        <w:t>يصدر</w:t>
        <w:br/>
        <w:t>وزيرالتجارة</w:t>
        <w:br/>
        <w:t>اللائحة التنفيذية والقرارات اللازمة لتنفيذ أحكام هذا النظام خلال مائة وثمانين يوما من تاريخ صدوره.</w:t>
        <w:br/>
        <w:t>المادة الرابعة عشرة:</w:t>
        <w:br/>
        <w:t>ينشر هذا النظام في</w:t>
        <w:br/>
        <w:t>الجريدة الرسمية</w:t>
        <w:br/>
        <w:t>،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