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</w:pPr>
      <w:r>
        <w:t>نظام المناطق البحرية للمملكة العربية السعودية</w:t>
        <w:br/>
        <w:t>1433 هـ</w:t>
        <w:br/>
        <w:t>بسم الله الرحمن الرحيم</w:t>
        <w:br/>
        <w:t>مرسوم ملكي رقم (م/6) بتاريخ 18 / 1 / 1433</w:t>
        <w:br/>
        <w:t>بعون الله تعالى</w:t>
        <w:br/>
        <w:t>نحن عبد الله بن عبد العزيز آل سعود</w:t>
        <w:br/>
        <w:t>ملك المملكة العربية السعودية</w:t>
        <w:br/>
        <w:t>بناء على المادة (السبعين) من النظام الأساسي للحكم، الصادر بالأمر الملكي رقم (أ/٩٠) بتاريخ ٢٧ / ٨ / ١٤١٢ هـ.</w:t>
        <w:br/>
        <w:t>وبناء على المادة (العشرين) من نظام مجلس الوزراء، الصادر بالأمر الملكي رقم (أ/١٣) بتاريخ ٣ / ٣ / ١٤١٤ هـ.</w:t>
        <w:br/>
        <w:t>وبناء على المادة (الثامنة عشرة) من نظام مجلس الشورى، الصادر بالأمر الملكي رقم (أ/٩١) بتاريخ ٢٧ / ٨ / ١٤١٢ هـ.</w:t>
        <w:br/>
        <w:t>وبعد الاطلاع على قرار مجلس الشورى رقم (٣٠/ ٣٠) بتاريخ ١٢/ ٦/ ١٤٣٢هـ.</w:t>
        <w:br/>
        <w:t>وبعد الاطلاع على قرار مجلس الوزراء رقم (١٢) بتاريخ ١٧/ ١/ ١٤٣٣هـ.</w:t>
        <w:br/>
        <w:t>رسمنا بما هو آت:</w:t>
        <w:br/>
        <w:t>أولًا : الموافقة على نظام المناطق البحرية للمملكة العربية السعودية، وذلك بالصيغة المرافقة.</w:t>
        <w:br/>
        <w:t>ثانيًا : على سمو نائب رئيس مجلس الوزراء والوزراء ورؤساء الأجهزة المعنية المستقلة – كل فيما يخصه – تنفيذ مرسومنا هذا.</w:t>
        <w:br/>
        <w:t>عبد الله بن عبد العزيز آل سعود</w:t>
        <w:br/>
        <w:t>قرار رقم (١٢) وتاريخ : ١٧/ ١ / ١٤٣٣هـ</w:t>
        <w:br/>
        <w:t>إن مجلس الوزراء</w:t>
        <w:br/>
        <w:t>بعد الاطلاع على المعاملة الواردة من الديوان الملكي برقم ٣٧٠٥٦ / ب وتاريخ ٩/ ٩/ ١٤٣٢هـ، المشتملة على برقيتي صاحب السمو الملكي وزير الخارجية رقم ٩٩/ ٥/ ١/ ٢٥٦/ ١ وتاريخ ٢/ ١/ ١٤١٨هـ، ورقم ٩٧/ ٢٥/ ط / ٨٦٢٣٤ / ١ وتاريخ ١٩/ ٧/ ١٤٢٩هـ، في شأن مشروع نظام المناطق البحرية للمملكة العربية السعودية.</w:t>
        <w:br/>
        <w:t>وبعد الاطلاع على مشروع النظام المشار إليه.</w:t>
        <w:br/>
        <w:t>وبعد الاطلاع على المرسوم الملكي رقم (م / ١٧) وتاريخ ١١/ ٩/ ١٤١٦هـ، القاضي بالموافقة على اتفاقية الأمم المتحدة لقانون البحار لعام ١٩٨٢م.</w:t>
        <w:br/>
        <w:t>وبعد الاطلاع على المحضرين رقم (٣٦٤) وتاريخ ٧/ ٨/ ١٤٣١هـ، ورقم (٤٦٤) وتاريخ ٧/ ١١/ ١٤٣٢هـ، المعدين في هيئة الخبراء بمجلس الوزراء.</w:t>
        <w:br/>
        <w:t>وبعد النظر في قرار مجلس الشورى رقم (٣٠/ ٣٠) وتاريخ ١٢/ ٦/ ١٤٣٢هـ.</w:t>
        <w:br/>
        <w:t>وبعد الاطلاع على توصية اللجنة العامة لمجلس الوزراء رقم (٧٨٣) وتاريخ ١٩/ ١١/ ١٤٣٢هـ.</w:t>
        <w:br/>
        <w:t>يقرر</w:t>
        <w:br/>
        <w:t>الموافقة على نظام المناطق البحرية للمملكة العربية السعودية، بالصيغة المرافقة.</w:t>
        <w:br/>
        <w:t>وقد أعد مشروع مرسوم ملكي بذلك، صيغته مرافقة لهذا.</w:t>
        <w:br/>
        <w:t>رئيس مجلس الوزراء</w:t>
        <w:br/>
        <w:t>نظام المناطق البحرية للمملكة العربية السعودية</w:t>
        <w:br/>
        <w:t>التعريفات</w:t>
        <w:br/>
        <w:t>المادة الأولى :</w:t>
        <w:br/>
        <w:t>يقصد بالألفاظ والعبارات الآتية - أينما وردت في هذا النظام - المعاني المبينة أمام كل منها، ما لم يقتض السياق خلاف ذلك:</w:t>
        <w:br/>
        <w:t>1  ـ المملكة :</w:t>
        <w:br/>
        <w:t>المملكة العربية السعودية .</w:t>
        <w:br/>
        <w:t>2 ـ الميل البحري :</w:t>
        <w:br/>
        <w:t>اثنان وخمسون وثمانمائة وألف متر (1852متراً) .</w:t>
        <w:br/>
        <w:t>3  ـ السواحل :</w:t>
        <w:br/>
        <w:t>سواحل المملكة المطلة على البحر الأحمر ، وخليج العقبة، والخليج العربي .</w:t>
        <w:br/>
        <w:t>4  ـ الاتفاقية :</w:t>
        <w:br/>
        <w:t>اتفاقية الأمم المتحدة لقانون البحار لعام 1982م .</w:t>
        <w:br/>
        <w:t>5  ـ خطوط الأساس :</w:t>
        <w:br/>
        <w:t>خطوط الأساس المعتمدة نظاماً للمناطق البحرية للمملكة في البحر الأحمر وخليج العقبة والخليج العربي.</w:t>
        <w:br/>
        <w:t>المياه الداخلية</w:t>
        <w:br/>
        <w:t>المادة الثانية :</w:t>
        <w:br/>
        <w:t>المياه الداخلية للمملكة هي المياه الواقعة باتجاه البر من خطوط الأساس .</w:t>
        <w:br/>
        <w:t>المادة الثالثة :</w:t>
        <w:br/>
        <w:t>تحدد أنظمة المملكة ولوائحها ضوابط دخول السفن إلى مياهها الداخلية وخروجها منها .</w:t>
        <w:br/>
        <w:t>البحر الإقليمي</w:t>
        <w:br/>
        <w:t>المادة الرابعة :</w:t>
        <w:br/>
        <w:t>تمتد سيادة المملكة خارج إقليمها البري ومياهها الداخلية إلى بحرها الإقليمي ، وكذلك الحيز الجوي الذي يعلو البحر الإقليمي ، وقاع هذا البحر وباطن أرضه . وتباشر المملكة سيادتها على بحرها الإقليمي وفقاً لأحكام الاتفاقية وغيرها من قواعد القانون الدولي .</w:t>
        <w:br/>
        <w:t>المادة الخامسة :</w:t>
        <w:br/>
        <w:t>1 ـ يمتد البحر الإقليمي للمملكة مسافة أثني عشر ميلاً بحرياً باتجاه البحر ، تقاس من خطوط الأساس .</w:t>
        <w:br/>
        <w:t>2 ـ الحد الخارجي للبحر الإقليمي للمملكة هو الخط  الذي يكون بُعد كل نقطة عليه من أقرب نقطة على خطوط الأساس مساوياً  لعرض البحر الإقليمي .</w:t>
        <w:br/>
        <w:t>المادة السادسة :</w:t>
        <w:br/>
        <w:t>مع الالتزام بالأنظمة واللوائح النافذة في المملكة ، تتمتع سفن جميع الدول بحق المرور البرئ، في البحر الإقليمي للمملكة .</w:t>
        <w:br/>
        <w:t>المادة السابعة :</w:t>
        <w:br/>
        <w:t>يكون المرور بريئاً ما دام لا يضر بسلم المملكة أو بحسن نظامها أو بأمنها . ويتم المرور البرئ، عبر البحر الإقليمي وفقاً لأحكام هذا النظام والاتفاقية وأي قواعد أخرى في القانون الدولي.</w:t>
        <w:br/>
        <w:t>المادة الثامنة :</w:t>
        <w:br/>
        <w:t>تبين أنظمة المملكة ولوائحها تنظيم المرور البرئ عبر بحرها الإقليمي ، طبقاً للاتفاقية وأي قواعد أخرى في القانون الدولي ،</w:t>
        <w:br/>
        <w:t>وتتناول الأمور التالية :</w:t>
        <w:br/>
        <w:t>1 ـ تعيين الممرات البحرية وتنظيمها .</w:t>
        <w:br/>
        <w:t>2 ـ حماية وسائل تيسير الملاحة والتسهيلات الملاحية ، وغير ذلك من المرافق والمنشآت .</w:t>
        <w:br/>
        <w:t>3 ـ حماية الكابلات وخطوط الأنابيب .</w:t>
        <w:br/>
        <w:t>4 ـ حفظ الموارد الحية للبحر .</w:t>
        <w:br/>
        <w:t>5 ـ منع خرق أنظمة المملكة ولوائحها المتعلقة بمصايد الأسماك .</w:t>
        <w:br/>
        <w:t>6 ـ المحافظة على بيئة المملكة ومنع تلوثها ، وخفض التلوث والسيطرة عليه .</w:t>
        <w:br/>
        <w:t>7 ـ البحث العلمي البحري وأعمال المسح الهيدروغرافي .</w:t>
        <w:br/>
        <w:t>8 ـ منع خرق أنظمة المملكة ولوائحها الجمركية أو الضريبية أو المتعلقة بالهجرة أو الصحة .</w:t>
        <w:br/>
        <w:t>المادة التاسعة :</w:t>
        <w:br/>
        <w:t>1 ـ على جميع الغواصات والمركبات الغاطسة الأخرى رفع علمها والإبحار طافية في البحر الإقليمي للمملكة.</w:t>
        <w:br/>
        <w:t>2 ـ على السفن والغواصات - التي تعمل بالطاقة النووية أو السفن التي تحمل مواد نووية أو مواد خطرة أو سامة - الحصول على إذن مسبق من السلطات المختصة في المملكة بدخولها أو مرورها عبر البحر الإقليمي للمملكة ، وتتحمل دولة علم السفينة المسؤولية كاملة عن أي خسارة أو ضرر ينجمان عن المرور البرئ لهذه السفن والغواصات في البحر الإقليمي للمملكة.</w:t>
        <w:br/>
        <w:t>3 ـ على جميع السفن والغواصات - التي تمارس حق المرور البرئ في البحر الإقليمي للمملكة- الالتزام بأنظمة المملكة ولوائحها ، وأن تمتثل لجميع الأنظمة الدولية المعمول بها في شأن منع التصادم في البحر .</w:t>
        <w:br/>
        <w:t>المادة العاشرة :</w:t>
        <w:br/>
        <w:t>تتحمل دولة علم السفينة الحربية أو الغواصة أو أي سفينة حكومية أخرى مستعملة لأغراض غير تجارية- المسؤولية الدولية عن أي خسارة أو ضرر يلحق المملكة نتيجة لعدم امتثالها لأنظمة المملكة أو لأحكام الاتفاقية أو لأي قواعد أخرى في القانون الدولي .</w:t>
        <w:br/>
        <w:t>المنطقة المتاخمة</w:t>
        <w:br/>
        <w:t>المادة الحادية عشرة :</w:t>
        <w:br/>
        <w:t>1 ـ للمملكة منطقة متاخمة ملاصقة لبحرها الإقليمي ، تمتد مسافة أثني عشر ميلاً بحرياً من الحد الخارجي للبحر الإقليمي للمملكة.</w:t>
        <w:br/>
        <w:t>2 ـ تمارس المملكة في المنطقة المتاخمة ، السيطرة والرقابة اللازمة من أجل الآتي :</w:t>
        <w:br/>
        <w:t>أ ـ منع خرق الأنظمة أو اللوائح النافذة في المملكة المتعلقة بالأمن والأنظمة البيئية والملاحة والجمارك والضرائب وشؤون الهجرة والصحة داخل إقليم المملكة أو بحرها الإقليمي .</w:t>
        <w:br/>
        <w:t>ب ـ معاقبة أي خرق لتلك الأنظمة أو اللوائح يحصل داخل إقليم المملكة أو في بحرها الإقليمي.</w:t>
        <w:br/>
        <w:t>المنطقة الاقتصادية الخالصة</w:t>
        <w:br/>
        <w:t>المادة الثانية عشرة :</w:t>
        <w:br/>
        <w:t>للمملكة منطقة اقتصادية خالصة تقع مباشرة وراء بحرها الإقليمي وملاصقة له ، وتمتد إلى الحدود البحرية مع الدول المجاورة والمقابلة للمملكة .</w:t>
        <w:br/>
        <w:t>المادة الثالثة عشرة :</w:t>
        <w:br/>
        <w:t>للمملكة في منطقتها الاقتصادية الخالصة ما يأتي :</w:t>
        <w:br/>
        <w:t>1 - حقوق سيادة خالصة ؛ لغرض استكشاف الموارد الطبيعية ـ الحية منها وغير الحية ـ للمياه التي تعلو قاع البحر ، ولقاع البحر وباطن أرضه ، وحفظ هذه الموارد وادارتها، وكذلك فيما يتعلق بالأنشطة الأخرى للاستكشاف والاستغلال الاقتصاديين للمنطقة الاقتصادية الخالصة ، كإنتاج الطاقة من المياه والتيارات والرياح .</w:t>
        <w:br/>
        <w:t>2 - ولاية خالصة فيما يتعلق بالآتي :</w:t>
        <w:br/>
        <w:t>أ ـ حماية البيئة البحرية والحفاظ عليها .</w:t>
        <w:br/>
        <w:t>ب ـ إجراء البحث العلمي والإشراف عليه .</w:t>
        <w:br/>
        <w:t>ج ـ إقامة الجزر الاصطناعية والمنشآت والتركيبات وتشغيلها وصيانتها ، وتحديد مناطق السلامة ، بما في ذلك الولاية في إصدار القوانين والأنظمة الجمركية والضريبية والصحية ، وقوانين الأمن والسلامة والهجرة وغيرها .</w:t>
        <w:br/>
        <w:t>3 - جميع الحقوق الأخرى المقررة طبقاً للاتفاقية ولأي قواعد أخرى في القانون الدولي .</w:t>
        <w:br/>
        <w:t>المادة الرابعة عشرة :</w:t>
        <w:br/>
        <w:t>1- للمملكة - في سبيل ممارستها لحقوق السيادة في استكشاف الموارد الحية واستغلالها وحفظها وإدارتها في المنطقة الاقتصادية الخالصة - أن تتخذ تدابير من بينها : تفقد السفن وتفتيشها واحتجازها وإقامة دعاوى قضائية ضدها ، وفقاً لما تقتضيه الضرورة ؛ لضمان الامتثال لأنظمة المملكة ولوائحها في المنطقة الاقتصادية الخالصة .</w:t>
        <w:br/>
        <w:t>2-</w:t>
        <w:tab/>
        <w:t xml:space="preserve"> لا يخلى سبيل السفن المحتجزة إلا بعد تقديم كفالة أو ضمان .</w:t>
        <w:br/>
        <w:t>3-</w:t>
        <w:tab/>
        <w:t xml:space="preserve"> تبلغ المملكة دولة العلم في حالات احتجاز السفن الأجنبية بالإجراء المتخذ وبأي عقوبات تفرض بعد ذلك .</w:t>
        <w:br/>
        <w:t>المادة الخامسة عشرة :</w:t>
        <w:br/>
        <w:t>يقتصر حق الصيد في المنطقة الاقتصادية الخالصة على مواطني المملكة . ويجوز للسلطات المختصة في المملكة - وفقاً للشروط والقيود التي تضعها - أن ترخص لغير المواطنين بالصيد، مع مراعاة التدابير التي تتخذها المملكة للمحافظة على الثروات الحية .</w:t>
        <w:br/>
        <w:t>المادة السادسة عشرة :</w:t>
        <w:br/>
        <w:t>على جميع الدول أن تراعي حقوق المملكة في منطقتها الاقتصادية الخالصة ، وأن تمتثل لأنظمة المملكة وأحكام الاتفاقية وأي قواعد أخرى في القانون الدولي .</w:t>
        <w:br/>
        <w:t>الجرف القاري</w:t>
        <w:br/>
        <w:t>المادة السابعة عشرة</w:t>
        <w:br/>
        <w:t>يشمل الجرف القاري للمملكة قاع أرض المساحات المغمورة وباطنها ، التي تمتد إلى ما وراء بحرها الإقليمي في جميع أنحاء الامتداد الطبيعي لإقليم المملكة البري .</w:t>
        <w:br/>
        <w:t>المادة الثامنة عشرة :</w:t>
        <w:br/>
        <w:t>1- تمارس المملكة على جرفها القاري حقوق سيادة خالصة لأغراض استكشاف موارده الطبيعية ، واستغلالها .</w:t>
        <w:br/>
        <w:t>2- تشمل الموارد الطبيعية - المشار إليها في الفقرة (1) من هذه المادة - الموارد المعدنية وغيرها من الموارد غير الحية في قاع البحر وباطن أرضه ، بالإضافة إلى الكائنات الحية التي تنتمي إلى الأنواع الآبدة، وهي الكائنات التي تكون في المرحلة التي يمكن جنيها ، إما غير متحركة وموجودة على قاع البحر أو تحته ، أو غير قادرة على الحركة إلا وهي على اتصال مادي دائم بقاع البحر أو باطن أرضه .</w:t>
        <w:br/>
        <w:t>المادة التاسعة عشرة :</w:t>
        <w:br/>
        <w:t>للمملكة الحق الخالص في الإذن بالحفر في جرفها القاري ، وتنظيم هذا الحفر لجميع الأغراض . ويحق لها استغلال باطن الأرض عن طريق حفر الأنفاق أياً كان ارتفاع الماء فوق باطن الأرض .</w:t>
        <w:br/>
        <w:t>المادة العشرون :</w:t>
        <w:br/>
        <w:t>1- تعني حقوق السيادة في الجرف القاري أنها حقوق خالصة للمملكة ، ولا تتوقف حقوق المملكة في الجرف القاري على احتلال فعلي أو حكمي ، ولا على إعلان صريح من المملكة .</w:t>
        <w:br/>
        <w:t>2- لا يجوز لأحد أن يباشر أيًّا من الحقوق المشار إليها في الفقرة (1) من هذه المادة دون موافقة خطية وصريحة من السلطات المختصة في المملكة .</w:t>
        <w:br/>
        <w:t>المادة الحادية والعشرون :</w:t>
        <w:br/>
        <w:t>حرية الملاحة والتحليق ومد الكابلات ووضع الأنابيب المغمورة مكفولة للدول الأخرى في المنطقة الاقتصادية الخالصة والجرف القاري للمملكة ، وفقاً لأحكام الاتفاقية وقواعد القانون الدولي وأنظمة المملكة ولوائحها .</w:t>
        <w:br/>
        <w:t>أحكام عامة</w:t>
        <w:br/>
        <w:t>المادة الثانية والعشرون :</w:t>
        <w:br/>
        <w:t>لا يخل تطبيق هذا النظام بما سبق إبرامه من اتفاقيات بين المملكة والدول المجاورة والمقابلة لها فيما يتعلق بالحدود البحرية أو باستغلال الموارد الطبيعية في البحر الأحمر وخليج العقبة والخليج العربي .</w:t>
        <w:br/>
        <w:t>المادة الثالثة والعشرون :</w:t>
        <w:br/>
        <w:t>ينشر هذا النظام في الجريدة الرسمية، ويعمل به من تاريخ نشره.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