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</w:pPr>
      <w:r>
        <w:t>نظام جباية الزكاة</w:t>
        <w:br/>
        <w:t>1370 هـ</w:t>
        <w:br/>
        <w:t>بسم الله الرحمن الرحيم</w:t>
        <w:br/>
        <w:t>مرسوم ملكي رقم 17 /2 /28 /8634 بتاريخ 29 / 6 / 1370</w:t>
        <w:br/>
        <w:t>بعون الله تعالى</w:t>
        <w:br/>
        <w:t>نحن عبد العزيز بن عبد الرحمن الفيصل</w:t>
        <w:br/>
        <w:t>ملك المملكة العربية السعودية</w:t>
        <w:br/>
        <w:t>بناء على المرسوم رقم (١٧ / ٢ / ٢٨ /٣٣٢١) وتاريخ ٢١ المحرم ٣٧٠، المتضمن إحداث ضريبة الدخل ، وتنفيذا لأحكام الشريعة الإسلامية.</w:t>
        <w:br/>
        <w:t>وبناء على ما عرضه علينا وزير ماليتنا</w:t>
        <w:br/>
        <w:t>نأمر بما يلي:</w:t>
        <w:br/>
        <w:t>نظام جباية الزكاة</w:t>
        <w:br/>
        <w:t>المادة الأولى:</w:t>
        <w:br/>
        <w:t>تعتبر أحكام  المرسوم    رقم (17 / 2 / 28 /3321) وتاريخ 21 المحرم 1370، خاصة بالأفراد والشركات الذين لا يحملون الرعوية السعودية.</w:t>
        <w:br/>
        <w:t>المادة الثانية:</w:t>
        <w:br/>
        <w:t>تستوفى من الأفراد والشركات الذين يحملون الرعوية السعودية  الزكاة الشرعية    وفقا لأحكام الشريعة الإسلامية السمحاء.</w:t>
        <w:br/>
        <w:t>المادة الثالثة:</w:t>
        <w:br/>
        <w:t>تعتبر أحكام هذا  المرسوم    نافذة اعتبارا من تاريخ تطبيق أحكام  المرسوم    رقم (17 / 2 / 28 /3321) وتاريخ 21 المحرم 1370.</w:t>
        <w:br/>
        <w:t>المادة الرابعة:</w:t>
        <w:br/>
        <w:t>يبلغ هذا المرسوم لمن يلزم لتنفيذ أحكامه.</w:t>
        <w:br/>
        <w:t>التوقيع الملكي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