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Entrega em Coimbra</w:t>
      </w:r>
    </w:p>
    <w:p>
      <w:r>
        <w:t xml:space="preserve">Inês Gonçalves recebe a entrega em Coimbra em 2026-12-03. Luís Nóbrega acompanha a visita de Braga em 2026-12-04.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 xml:space="preserve">Sala</w:t>
            </w:r>
          </w:p>
        </w:tc>
        <w:tc>
          <w:tcPr>
            <w:tcW w:w="2500" w:type="dxa"/>
          </w:tcPr>
          <w:p>
            <w:r>
              <w:t xml:space="preserve">Lugares</w:t>
            </w:r>
          </w:p>
        </w:tc>
        <w:tc>
          <w:tcPr>
            <w:tcW w:w="2500" w:type="dxa"/>
          </w:tcPr>
          <w:p>
            <w:r>
              <w:t xml:space="preserve">Uso</w:t>
            </w:r>
          </w:p>
        </w:tc>
      </w:tr>
      <w:tr>
        <w:tc>
          <w:tcPr>
            <w:tcW w:w="2500" w:type="dxa"/>
          </w:tcPr>
          <w:p>
            <w:r>
              <w:t xml:space="preserve">Sala Açucena</w:t>
            </w:r>
          </w:p>
        </w:tc>
        <w:tc>
          <w:tcPr>
            <w:tcW w:w="2500" w:type="dxa"/>
          </w:tcPr>
          <w:p>
            <w:r>
              <w:t xml:space="preserve">28</w:t>
            </w:r>
          </w:p>
        </w:tc>
        <w:tc>
          <w:tcPr>
            <w:tcW w:w="2500" w:type="dxa"/>
          </w:tcPr>
          <w:p>
            <w:r>
              <w:t xml:space="preserve">Oficina de montagem</w:t>
            </w:r>
          </w:p>
        </w:tc>
      </w:tr>
      <w:tr>
        <w:tc>
          <w:tcPr>
            <w:tcW w:w="2500" w:type="dxa"/>
          </w:tcPr>
          <w:p>
            <w:r>
              <w:t xml:space="preserve">Sala Dália</w:t>
            </w:r>
          </w:p>
        </w:tc>
        <w:tc>
          <w:tcPr>
            <w:tcW w:w="2500" w:type="dxa"/>
          </w:tcPr>
          <w:p>
            <w:r>
              <w:t xml:space="preserve">16</w:t>
            </w:r>
          </w:p>
        </w:tc>
        <w:tc>
          <w:tcPr>
            <w:tcW w:w="2500" w:type="dxa"/>
          </w:tcPr>
          <w:p>
            <w:r>
              <w:t xml:space="preserve">Reunião de arquivo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  <w:color w:val="000000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pPr>
      <w:keepNext/>
      <w:spacing w:before="160" w:after="120"/>
      <w:outlineLvl w:val="0"/>
    </w:pPr>
    <w:rPr>
      <w:b/>
      <w:sz w:val="32"/>
      <w:color w:val="000000"/>
    </w:rPr>
  </w:style>
  <w:style w:type="paragraph" w:styleId="Heading2">
    <w:name w:val="Heading 2"/>
    <w:basedOn w:val="Normal"/>
    <w:pPr>
      <w:keepNext/>
      <w:spacing w:before="160" w:after="120"/>
      <w:outlineLvl w:val="1"/>
    </w:pPr>
    <w:rPr>
      <w:b/>
      <w:sz w:val="26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Entrega em Coimbra</dc:title>
  <dc:creator>Context Mole synthetic fixture author</dc:creator>
  <dcterms:created xsi:type="dcterms:W3CDTF">2000-01-01T00:00:00Z</dcterms:created>
  <dcterms:modified xsi:type="dcterms:W3CDTF">2000-01-01T00:00:00Z</dcterms:modified>
</cp:coreProperties>
</file>